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Style w:val="11"/>
          <w:rFonts w:ascii="楷体" w:hAnsi="楷体" w:eastAsia="楷体"/>
          <w:color w:val="000000"/>
          <w:spacing w:val="8"/>
          <w:sz w:val="44"/>
          <w:szCs w:val="44"/>
        </w:rPr>
      </w:pPr>
      <w:r>
        <w:rPr>
          <w:rStyle w:val="11"/>
          <w:rFonts w:hint="eastAsia" w:ascii="楷体" w:hAnsi="楷体" w:eastAsia="楷体"/>
          <w:color w:val="000000"/>
          <w:spacing w:val="8"/>
          <w:sz w:val="44"/>
          <w:szCs w:val="44"/>
        </w:rPr>
        <w:t>大数据与会计专业职业适应性测试</w:t>
      </w:r>
      <w:r>
        <w:rPr>
          <w:rStyle w:val="11"/>
          <w:rFonts w:ascii="楷体" w:hAnsi="楷体" w:eastAsia="楷体"/>
          <w:color w:val="000000"/>
          <w:spacing w:val="8"/>
          <w:sz w:val="44"/>
          <w:szCs w:val="44"/>
        </w:rPr>
        <w:t>大纲</w:t>
      </w:r>
    </w:p>
    <w:p>
      <w:pPr>
        <w:spacing w:line="360" w:lineRule="auto"/>
        <w:jc w:val="center"/>
        <w:rPr>
          <w:rFonts w:ascii="楷体" w:hAnsi="楷体" w:eastAsia="楷体"/>
          <w:bCs/>
          <w:color w:val="000000"/>
          <w:kern w:val="36"/>
          <w:sz w:val="24"/>
        </w:rPr>
      </w:pPr>
      <w:r>
        <w:rPr>
          <w:rFonts w:hint="eastAsia" w:ascii="楷体" w:hAnsi="楷体" w:eastAsia="楷体"/>
          <w:bCs/>
          <w:color w:val="000000"/>
          <w:kern w:val="36"/>
          <w:sz w:val="28"/>
          <w:szCs w:val="28"/>
        </w:rPr>
        <w:t>（</w:t>
      </w:r>
      <w:r>
        <w:rPr>
          <w:rFonts w:hint="eastAsia" w:ascii="楷体" w:hAnsi="楷体" w:eastAsia="楷体"/>
          <w:bCs/>
          <w:color w:val="000000"/>
          <w:kern w:val="36"/>
          <w:sz w:val="24"/>
        </w:rPr>
        <w:t>面向高中考生</w:t>
      </w:r>
      <w:r>
        <w:rPr>
          <w:rFonts w:hint="eastAsia" w:ascii="楷体" w:hAnsi="楷体" w:eastAsia="楷体"/>
          <w:bCs/>
          <w:color w:val="000000"/>
          <w:kern w:val="36"/>
          <w:sz w:val="28"/>
          <w:szCs w:val="28"/>
        </w:rPr>
        <w:t>）</w:t>
      </w:r>
    </w:p>
    <w:p>
      <w:pPr>
        <w:pStyle w:val="20"/>
        <w:keepNext w:val="0"/>
        <w:keepLines w:val="0"/>
        <w:pageBreakBefore w:val="0"/>
        <w:widowControl w:val="0"/>
        <w:kinsoku/>
        <w:wordWrap/>
        <w:overflowPunct/>
        <w:topLinePunct w:val="0"/>
        <w:autoSpaceDE/>
        <w:autoSpaceDN/>
        <w:bidi w:val="0"/>
        <w:adjustRightInd/>
        <w:snapToGrid/>
        <w:ind w:firstLine="562" w:firstLineChars="200"/>
        <w:textAlignment w:val="auto"/>
      </w:pPr>
      <w:r>
        <w:rPr>
          <w:rFonts w:hint="eastAsia"/>
        </w:rPr>
        <w:t>一、指导思想</w:t>
      </w:r>
    </w:p>
    <w:p>
      <w:pPr>
        <w:spacing w:line="360" w:lineRule="auto"/>
        <w:ind w:firstLine="480"/>
        <w:jc w:val="left"/>
        <w:rPr>
          <w:rFonts w:hint="eastAsia" w:ascii="楷体" w:hAnsi="楷体" w:eastAsia="楷体"/>
          <w:sz w:val="24"/>
        </w:rPr>
      </w:pPr>
      <w:r>
        <w:rPr>
          <w:rFonts w:hint="eastAsia" w:ascii="楷体" w:hAnsi="楷体" w:eastAsia="楷体"/>
          <w:sz w:val="24"/>
        </w:rPr>
        <w:t>通过职业适应性测试，考察学生的职业意识、职业潜质和职业技术素养</w:t>
      </w:r>
      <w:r>
        <w:rPr>
          <w:rFonts w:hint="eastAsia" w:ascii="楷体" w:hAnsi="楷体" w:eastAsia="楷体"/>
          <w:sz w:val="24"/>
          <w:lang w:eastAsia="zh-CN"/>
        </w:rPr>
        <w:t>，</w:t>
      </w:r>
      <w:r>
        <w:rPr>
          <w:rFonts w:hint="eastAsia" w:ascii="楷体" w:hAnsi="楷体" w:eastAsia="楷体"/>
          <w:sz w:val="24"/>
        </w:rPr>
        <w:t>了解学生对本专业的关注程度和学习的潜质。</w:t>
      </w:r>
    </w:p>
    <w:p>
      <w:pPr>
        <w:pStyle w:val="20"/>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rPr>
      </w:pPr>
      <w:r>
        <w:rPr>
          <w:rFonts w:hint="eastAsia"/>
        </w:rPr>
        <w:t>二、考核目标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楷体" w:hAnsi="楷体" w:eastAsia="楷体"/>
          <w:b w:val="0"/>
          <w:bCs/>
          <w:color w:val="000000"/>
          <w:sz w:val="24"/>
        </w:rPr>
      </w:pPr>
      <w:r>
        <w:rPr>
          <w:rFonts w:hint="eastAsia" w:ascii="楷体" w:hAnsi="楷体" w:eastAsia="楷体"/>
          <w:b w:val="0"/>
          <w:bCs/>
          <w:color w:val="000000"/>
          <w:sz w:val="24"/>
        </w:rPr>
        <w:t>1．知识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楷体" w:hAnsi="楷体" w:eastAsia="楷体"/>
          <w:b w:val="0"/>
          <w:bCs/>
          <w:color w:val="000000"/>
          <w:sz w:val="24"/>
        </w:rPr>
      </w:pPr>
      <w:r>
        <w:rPr>
          <w:rFonts w:hint="eastAsia" w:ascii="楷体" w:hAnsi="楷体" w:eastAsia="楷体"/>
          <w:b w:val="0"/>
          <w:bCs/>
          <w:color w:val="000000"/>
          <w:sz w:val="24"/>
        </w:rPr>
        <w:t>（1）了解大数据下会计行业的发展及其对社会发展和人类生活的重要意义，具有良好的职业认知和价值取向。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楷体" w:hAnsi="楷体" w:eastAsia="楷体"/>
          <w:b w:val="0"/>
          <w:bCs/>
          <w:color w:val="000000"/>
          <w:sz w:val="24"/>
        </w:rPr>
      </w:pPr>
      <w:r>
        <w:rPr>
          <w:rFonts w:hint="eastAsia" w:ascii="楷体" w:hAnsi="楷体" w:eastAsia="楷体"/>
          <w:b w:val="0"/>
          <w:bCs/>
          <w:color w:val="000000"/>
          <w:sz w:val="24"/>
        </w:rPr>
        <w:t>（2）理解大数据下会计行业发展对会计从业人员基本素质的要求，正确看待大数据与会计专业的社会地位。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楷体" w:hAnsi="楷体" w:eastAsia="楷体"/>
          <w:b w:val="0"/>
          <w:bCs/>
          <w:color w:val="000000"/>
          <w:sz w:val="24"/>
        </w:rPr>
      </w:pPr>
      <w:r>
        <w:rPr>
          <w:rFonts w:hint="eastAsia" w:ascii="楷体" w:hAnsi="楷体" w:eastAsia="楷体"/>
          <w:b w:val="0"/>
          <w:bCs/>
          <w:color w:val="000000"/>
          <w:sz w:val="24"/>
        </w:rPr>
        <w:t>（3）熟悉与财经相关的文化常识。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楷体" w:hAnsi="楷体" w:eastAsia="楷体"/>
          <w:b w:val="0"/>
          <w:bCs/>
          <w:color w:val="000000"/>
          <w:sz w:val="24"/>
        </w:rPr>
      </w:pPr>
      <w:r>
        <w:rPr>
          <w:rFonts w:hint="eastAsia" w:ascii="楷体" w:hAnsi="楷体" w:eastAsia="楷体"/>
          <w:b w:val="0"/>
          <w:bCs/>
          <w:color w:val="000000"/>
          <w:sz w:val="24"/>
        </w:rPr>
        <w:t>2．能力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楷体" w:hAnsi="楷体" w:eastAsia="楷体"/>
          <w:b w:val="0"/>
          <w:bCs/>
          <w:sz w:val="24"/>
        </w:rPr>
      </w:pPr>
      <w:r>
        <w:rPr>
          <w:rFonts w:hint="eastAsia" w:ascii="楷体" w:hAnsi="楷体" w:eastAsia="楷体" w:cs="宋体"/>
          <w:b w:val="0"/>
          <w:bCs/>
          <w:kern w:val="0"/>
          <w:sz w:val="24"/>
        </w:rPr>
        <w:t>（1）言语表达能力：</w:t>
      </w:r>
      <w:r>
        <w:rPr>
          <w:rFonts w:hint="eastAsia" w:ascii="楷体" w:hAnsi="楷体" w:eastAsia="楷体"/>
          <w:b w:val="0"/>
          <w:bCs/>
          <w:sz w:val="24"/>
        </w:rPr>
        <w:t>具备简洁、流畅的口头表达能力，能够准确地表达自己的观点。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楷体" w:hAnsi="楷体" w:eastAsia="楷体"/>
          <w:b w:val="0"/>
          <w:bCs/>
          <w:sz w:val="24"/>
        </w:rPr>
      </w:pPr>
      <w:r>
        <w:rPr>
          <w:rFonts w:hint="eastAsia" w:ascii="楷体" w:hAnsi="楷体" w:eastAsia="楷体"/>
          <w:b w:val="0"/>
          <w:bCs/>
          <w:sz w:val="24"/>
        </w:rPr>
        <w:t>（2）思维品质情况：能正确地理解和</w:t>
      </w:r>
      <w:r>
        <w:rPr>
          <w:rFonts w:hint="eastAsia" w:ascii="楷体" w:hAnsi="楷体" w:eastAsia="楷体"/>
          <w:b w:val="0"/>
          <w:bCs/>
          <w:kern w:val="0"/>
          <w:sz w:val="24"/>
        </w:rPr>
        <w:t>全面</w:t>
      </w:r>
      <w:r>
        <w:rPr>
          <w:rFonts w:hint="eastAsia" w:ascii="楷体" w:hAnsi="楷体" w:eastAsia="楷体"/>
          <w:b w:val="0"/>
          <w:bCs/>
          <w:sz w:val="24"/>
        </w:rPr>
        <w:t>分析问题，</w:t>
      </w:r>
      <w:r>
        <w:rPr>
          <w:rFonts w:hint="eastAsia" w:ascii="楷体" w:hAnsi="楷体" w:eastAsia="楷体"/>
          <w:b w:val="0"/>
          <w:bCs/>
          <w:kern w:val="0"/>
          <w:sz w:val="24"/>
        </w:rPr>
        <w:t>有较好的应变能力和</w:t>
      </w:r>
      <w:r>
        <w:rPr>
          <w:rFonts w:hint="eastAsia" w:ascii="楷体" w:hAnsi="楷体" w:eastAsia="楷体"/>
          <w:b w:val="0"/>
          <w:bCs/>
          <w:sz w:val="24"/>
        </w:rPr>
        <w:t>创新意识。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楷体" w:hAnsi="楷体" w:eastAsia="楷体"/>
          <w:b w:val="0"/>
          <w:bCs/>
          <w:sz w:val="24"/>
        </w:rPr>
      </w:pPr>
      <w:r>
        <w:rPr>
          <w:rFonts w:hint="eastAsia" w:ascii="楷体" w:hAnsi="楷体" w:eastAsia="楷体"/>
          <w:b w:val="0"/>
          <w:bCs/>
          <w:sz w:val="24"/>
        </w:rPr>
        <w:t>（3）团队协作能力：具备良好的与人沟通的能力，能服从大局、融入团队开展工作。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楷体" w:hAnsi="楷体" w:eastAsia="楷体"/>
          <w:b w:val="0"/>
          <w:bCs/>
          <w:sz w:val="24"/>
        </w:rPr>
      </w:pPr>
      <w:r>
        <w:rPr>
          <w:rFonts w:hint="eastAsia" w:ascii="楷体" w:hAnsi="楷体" w:eastAsia="楷体"/>
          <w:b w:val="0"/>
          <w:bCs/>
          <w:sz w:val="24"/>
        </w:rPr>
        <w:t>（4）自主学习能力：具备学习和接受新知识的能力，具有良好的自主学习习惯。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楷体" w:hAnsi="楷体" w:eastAsia="楷体"/>
          <w:b w:val="0"/>
          <w:bCs/>
          <w:color w:val="000000"/>
          <w:sz w:val="24"/>
        </w:rPr>
      </w:pPr>
      <w:r>
        <w:rPr>
          <w:rFonts w:hint="eastAsia" w:ascii="楷体" w:hAnsi="楷体" w:eastAsia="楷体"/>
          <w:b w:val="0"/>
          <w:bCs/>
          <w:sz w:val="24"/>
        </w:rPr>
        <w:t>（5）创新能力：具备创新和挑战自我的意识，具有较明确的职业规划。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楷体" w:hAnsi="楷体" w:eastAsia="楷体"/>
          <w:b w:val="0"/>
          <w:bCs/>
          <w:color w:val="000000"/>
          <w:sz w:val="24"/>
        </w:rPr>
      </w:pPr>
      <w:r>
        <w:rPr>
          <w:rFonts w:hint="eastAsia" w:ascii="楷体" w:hAnsi="楷体" w:eastAsia="楷体"/>
          <w:b w:val="0"/>
          <w:bCs/>
          <w:color w:val="000000"/>
          <w:sz w:val="24"/>
        </w:rPr>
        <w:t>3．素质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楷体" w:hAnsi="楷体" w:eastAsia="楷体"/>
          <w:sz w:val="24"/>
        </w:rPr>
      </w:pPr>
      <w:r>
        <w:rPr>
          <w:rFonts w:hint="eastAsia" w:ascii="楷体" w:hAnsi="楷体" w:eastAsia="楷体"/>
          <w:sz w:val="24"/>
        </w:rPr>
        <w:t>（1）身体与心理素质：身体素质符合财务岗位用人的要求，具有一定的情绪调节和自控能力，能够冷静地处理问题，具有较强的应变能力。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宋体"/>
          <w:kern w:val="0"/>
          <w:sz w:val="24"/>
        </w:rPr>
      </w:pPr>
      <w:r>
        <w:rPr>
          <w:rFonts w:hint="eastAsia" w:ascii="楷体" w:hAnsi="楷体" w:eastAsia="楷体"/>
          <w:sz w:val="24"/>
        </w:rPr>
        <w:t>（2）仪表与仪容：仪容</w:t>
      </w:r>
      <w:r>
        <w:rPr>
          <w:rFonts w:hint="eastAsia" w:ascii="楷体" w:hAnsi="楷体" w:eastAsia="楷体" w:cs="宋体"/>
          <w:kern w:val="0"/>
          <w:sz w:val="24"/>
        </w:rPr>
        <w:t>仪表得体。</w:t>
      </w:r>
    </w:p>
    <w:p>
      <w:pPr>
        <w:pStyle w:val="20"/>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lang w:val="en-US" w:eastAsia="zh-CN"/>
        </w:rPr>
      </w:pPr>
      <w:r>
        <w:rPr>
          <w:rFonts w:hint="eastAsia"/>
        </w:rPr>
        <w:t>三、考核</w:t>
      </w:r>
      <w:r>
        <w:rPr>
          <w:rFonts w:hint="eastAsia"/>
          <w:lang w:val="en-US" w:eastAsia="zh-CN"/>
        </w:rPr>
        <w:t>内容</w:t>
      </w:r>
    </w:p>
    <w:p>
      <w:pPr>
        <w:pStyle w:val="3"/>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楷体" w:hAnsi="楷体" w:eastAsia="楷体"/>
          <w:color w:val="000000"/>
          <w:sz w:val="24"/>
          <w:lang w:eastAsia="zh-CN"/>
        </w:rPr>
      </w:pPr>
      <w:r>
        <w:rPr>
          <w:rFonts w:hint="eastAsia" w:ascii="楷体" w:hAnsi="楷体" w:eastAsia="楷体"/>
          <w:color w:val="000000"/>
          <w:sz w:val="24"/>
        </w:rPr>
        <w:t>职业适应性测试考核学生的职业意识、职业潜质和职业技术素养</w:t>
      </w:r>
      <w:r>
        <w:rPr>
          <w:rFonts w:hint="eastAsia" w:ascii="楷体" w:hAnsi="楷体" w:eastAsia="楷体"/>
          <w:color w:val="000000"/>
          <w:sz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ascii="楷体" w:hAnsi="楷体" w:eastAsia="楷体"/>
          <w:sz w:val="24"/>
        </w:rPr>
      </w:pPr>
      <w:r>
        <w:rPr>
          <w:rFonts w:hint="eastAsia" w:ascii="楷体" w:hAnsi="楷体" w:eastAsia="楷体"/>
          <w:sz w:val="24"/>
        </w:rPr>
        <w:t>自我介绍：考生进行自我介绍，包括个人特长、爱好、专业认知等，但自我介绍过程中不得透露任何个人信息，如考生姓名、考号、学校名称等，时间3分钟，超时扣10分。</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楷体" w:hAnsi="楷体" w:eastAsia="楷体"/>
          <w:sz w:val="24"/>
        </w:rPr>
      </w:pPr>
      <w:r>
        <w:rPr>
          <w:rFonts w:hint="eastAsia" w:ascii="楷体" w:hAnsi="楷体" w:eastAsia="楷体"/>
          <w:sz w:val="24"/>
        </w:rPr>
        <w:t>必答题：考生从考试现场已经准备的10道题目中随机抽取1题，现场思考后立即作答。题目内容范围主要有对大数据与会计</w:t>
      </w:r>
      <w:r>
        <w:rPr>
          <w:rFonts w:hint="eastAsia" w:ascii="楷体" w:hAnsi="楷体" w:eastAsia="楷体"/>
          <w:sz w:val="24"/>
          <w:lang w:val="en-US" w:eastAsia="zh-CN"/>
        </w:rPr>
        <w:t>行业</w:t>
      </w:r>
      <w:r>
        <w:rPr>
          <w:rFonts w:hint="eastAsia" w:ascii="楷体" w:hAnsi="楷体" w:eastAsia="楷体"/>
          <w:sz w:val="24"/>
        </w:rPr>
        <w:t>的了解和认识，包含职业观、行业认识等，时间3分钟</w:t>
      </w:r>
      <w:r>
        <w:rPr>
          <w:rFonts w:hint="eastAsia" w:ascii="楷体" w:hAnsi="楷体" w:eastAsia="楷体"/>
          <w:sz w:val="24"/>
          <w:lang w:eastAsia="zh-CN"/>
        </w:rPr>
        <w:t>，</w:t>
      </w:r>
      <w:r>
        <w:rPr>
          <w:rFonts w:hint="eastAsia" w:ascii="楷体" w:hAnsi="楷体" w:eastAsia="楷体"/>
          <w:sz w:val="24"/>
        </w:rPr>
        <w:t>超时扣10分。</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楷体" w:hAnsi="楷体" w:eastAsia="楷体"/>
          <w:sz w:val="24"/>
        </w:rPr>
      </w:pPr>
      <w:r>
        <w:rPr>
          <w:rFonts w:hint="eastAsia" w:ascii="楷体" w:hAnsi="楷体" w:eastAsia="楷体"/>
          <w:sz w:val="24"/>
        </w:rPr>
        <w:t>答辩题：考生根据</w:t>
      </w:r>
      <w:r>
        <w:rPr>
          <w:rFonts w:hint="eastAsia" w:ascii="楷体" w:hAnsi="楷体" w:eastAsia="楷体" w:cs="宋体"/>
          <w:bCs/>
          <w:spacing w:val="4"/>
          <w:kern w:val="0"/>
          <w:sz w:val="24"/>
        </w:rPr>
        <w:t>考官</w:t>
      </w:r>
      <w:r>
        <w:rPr>
          <w:rFonts w:hint="eastAsia" w:ascii="楷体" w:hAnsi="楷体" w:eastAsia="楷体"/>
          <w:sz w:val="24"/>
        </w:rPr>
        <w:t>提问问题，当场作答，时间</w:t>
      </w:r>
      <w:r>
        <w:rPr>
          <w:rFonts w:hint="eastAsia" w:ascii="楷体" w:hAnsi="楷体" w:eastAsia="楷体"/>
          <w:sz w:val="24"/>
          <w:lang w:val="en-US" w:eastAsia="zh-CN"/>
        </w:rPr>
        <w:t>4</w:t>
      </w:r>
      <w:r>
        <w:rPr>
          <w:rFonts w:hint="eastAsia" w:ascii="楷体" w:hAnsi="楷体" w:eastAsia="楷体"/>
          <w:sz w:val="24"/>
        </w:rPr>
        <w:t>分钟</w:t>
      </w:r>
      <w:r>
        <w:rPr>
          <w:rFonts w:hint="eastAsia" w:ascii="楷体" w:hAnsi="楷体" w:eastAsia="楷体"/>
          <w:sz w:val="24"/>
          <w:lang w:eastAsia="zh-CN"/>
        </w:rPr>
        <w:t>，</w:t>
      </w:r>
      <w:r>
        <w:rPr>
          <w:rFonts w:hint="eastAsia" w:ascii="楷体" w:hAnsi="楷体" w:eastAsia="楷体"/>
          <w:sz w:val="24"/>
        </w:rPr>
        <w:t>超时扣10分。</w:t>
      </w:r>
    </w:p>
    <w:p>
      <w:pPr>
        <w:pStyle w:val="20"/>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rPr>
      </w:pPr>
      <w:r>
        <w:rPr>
          <w:rFonts w:hint="eastAsia"/>
        </w:rPr>
        <w:t>四、考试形式与时间</w:t>
      </w:r>
    </w:p>
    <w:p>
      <w:pPr>
        <w:spacing w:line="360" w:lineRule="auto"/>
        <w:ind w:firstLine="480" w:firstLineChars="200"/>
        <w:rPr>
          <w:rFonts w:ascii="楷体" w:hAnsi="楷体" w:eastAsia="楷体"/>
          <w:sz w:val="24"/>
        </w:rPr>
      </w:pPr>
      <w:r>
        <w:rPr>
          <w:rFonts w:hint="eastAsia" w:ascii="楷体" w:hAnsi="楷体" w:eastAsia="楷体"/>
          <w:sz w:val="24"/>
        </w:rPr>
        <w:t>1. 考试形式：职业适应性测试。</w:t>
      </w:r>
      <w:r>
        <w:rPr>
          <w:rFonts w:hint="eastAsia" w:ascii="楷体" w:hAnsi="楷体" w:eastAsia="楷体" w:cs="宋体"/>
          <w:bCs/>
          <w:spacing w:val="4"/>
          <w:kern w:val="0"/>
          <w:sz w:val="24"/>
        </w:rPr>
        <w:t>考官根据考生职业适应性测试过程中的表现，进行综合评分</w:t>
      </w:r>
      <w:r>
        <w:rPr>
          <w:rFonts w:hint="eastAsia" w:ascii="楷体" w:hAnsi="楷体" w:eastAsia="楷体"/>
          <w:sz w:val="24"/>
        </w:rPr>
        <w:t>。</w:t>
      </w:r>
    </w:p>
    <w:p>
      <w:pPr>
        <w:spacing w:line="360" w:lineRule="auto"/>
        <w:ind w:firstLine="480" w:firstLineChars="200"/>
        <w:rPr>
          <w:rFonts w:ascii="楷体" w:hAnsi="楷体" w:eastAsia="楷体"/>
          <w:sz w:val="24"/>
        </w:rPr>
      </w:pPr>
      <w:r>
        <w:rPr>
          <w:rFonts w:hint="eastAsia" w:ascii="楷体" w:hAnsi="楷体" w:eastAsia="楷体"/>
          <w:sz w:val="24"/>
        </w:rPr>
        <w:t>2. 考试时间：每名考生10分钟。</w:t>
      </w:r>
    </w:p>
    <w:p>
      <w:pPr>
        <w:pStyle w:val="20"/>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rPr>
      </w:pPr>
      <w:r>
        <w:rPr>
          <w:rFonts w:hint="eastAsia"/>
        </w:rPr>
        <w:t>五、职业适应性测试分值</w:t>
      </w:r>
    </w:p>
    <w:p>
      <w:pPr>
        <w:spacing w:line="360" w:lineRule="auto"/>
        <w:ind w:firstLine="480" w:firstLineChars="200"/>
        <w:rPr>
          <w:rFonts w:ascii="楷体" w:hAnsi="楷体" w:eastAsia="楷体"/>
          <w:sz w:val="24"/>
        </w:rPr>
      </w:pPr>
      <w:r>
        <w:rPr>
          <w:rFonts w:hint="eastAsia" w:ascii="楷体" w:hAnsi="楷体" w:eastAsia="楷体"/>
          <w:sz w:val="24"/>
        </w:rPr>
        <w:t>职业适应性测试分值共为260分，评分细则如下：</w:t>
      </w:r>
    </w:p>
    <w:tbl>
      <w:tblPr>
        <w:tblStyle w:val="9"/>
        <w:tblW w:w="971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6"/>
        <w:gridCol w:w="708"/>
        <w:gridCol w:w="708"/>
        <w:gridCol w:w="709"/>
        <w:gridCol w:w="720"/>
        <w:gridCol w:w="60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86"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序号</w:t>
            </w:r>
          </w:p>
        </w:tc>
        <w:tc>
          <w:tcPr>
            <w:tcW w:w="1416" w:type="dxa"/>
            <w:gridSpan w:val="2"/>
          </w:tcPr>
          <w:p>
            <w:pPr>
              <w:snapToGrid w:val="0"/>
              <w:jc w:val="center"/>
              <w:rPr>
                <w:rFonts w:ascii="楷体" w:hAnsi="楷体" w:eastAsia="楷体" w:cs="Arial"/>
                <w:color w:val="000000"/>
                <w:sz w:val="24"/>
              </w:rPr>
            </w:pPr>
            <w:r>
              <w:rPr>
                <w:rFonts w:hint="eastAsia" w:ascii="楷体" w:hAnsi="楷体" w:eastAsia="楷体" w:cs="Arial"/>
                <w:color w:val="000000"/>
                <w:sz w:val="24"/>
              </w:rPr>
              <w:t>测试</w:t>
            </w:r>
          </w:p>
          <w:p>
            <w:pPr>
              <w:snapToGrid w:val="0"/>
              <w:jc w:val="center"/>
              <w:rPr>
                <w:rFonts w:ascii="楷体" w:hAnsi="楷体" w:eastAsia="楷体" w:cs="Arial"/>
                <w:color w:val="000000"/>
                <w:sz w:val="24"/>
              </w:rPr>
            </w:pPr>
            <w:r>
              <w:rPr>
                <w:rFonts w:hint="eastAsia" w:ascii="楷体" w:hAnsi="楷体" w:eastAsia="楷体" w:cs="Arial"/>
                <w:color w:val="000000"/>
                <w:sz w:val="24"/>
              </w:rPr>
              <w:t>项目</w:t>
            </w:r>
          </w:p>
        </w:tc>
        <w:tc>
          <w:tcPr>
            <w:tcW w:w="709"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权重</w:t>
            </w:r>
          </w:p>
        </w:tc>
        <w:tc>
          <w:tcPr>
            <w:tcW w:w="720"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分值</w:t>
            </w:r>
          </w:p>
        </w:tc>
        <w:tc>
          <w:tcPr>
            <w:tcW w:w="6084"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86" w:type="dxa"/>
            <w:vMerge w:val="restart"/>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1</w:t>
            </w:r>
          </w:p>
        </w:tc>
        <w:tc>
          <w:tcPr>
            <w:tcW w:w="708" w:type="dxa"/>
            <w:vMerge w:val="restart"/>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综</w:t>
            </w:r>
          </w:p>
          <w:p>
            <w:pPr>
              <w:snapToGrid w:val="0"/>
              <w:jc w:val="center"/>
              <w:rPr>
                <w:rFonts w:ascii="楷体" w:hAnsi="楷体" w:eastAsia="楷体" w:cs="Arial"/>
                <w:color w:val="000000"/>
                <w:sz w:val="24"/>
              </w:rPr>
            </w:pPr>
            <w:r>
              <w:rPr>
                <w:rFonts w:hint="eastAsia" w:ascii="楷体" w:hAnsi="楷体" w:eastAsia="楷体" w:cs="Arial"/>
                <w:color w:val="000000"/>
                <w:sz w:val="24"/>
              </w:rPr>
              <w:t>合</w:t>
            </w:r>
          </w:p>
          <w:p>
            <w:pPr>
              <w:snapToGrid w:val="0"/>
              <w:jc w:val="center"/>
              <w:rPr>
                <w:rFonts w:ascii="楷体" w:hAnsi="楷体" w:eastAsia="楷体" w:cs="Arial"/>
                <w:color w:val="000000"/>
                <w:sz w:val="24"/>
              </w:rPr>
            </w:pPr>
            <w:r>
              <w:rPr>
                <w:rFonts w:hint="eastAsia" w:ascii="楷体" w:hAnsi="楷体" w:eastAsia="楷体" w:cs="Arial"/>
                <w:color w:val="000000"/>
                <w:sz w:val="24"/>
              </w:rPr>
              <w:t>素</w:t>
            </w:r>
          </w:p>
          <w:p>
            <w:pPr>
              <w:snapToGrid w:val="0"/>
              <w:jc w:val="center"/>
              <w:rPr>
                <w:rFonts w:ascii="楷体" w:hAnsi="楷体" w:eastAsia="楷体" w:cs="Arial"/>
                <w:color w:val="000000"/>
                <w:sz w:val="24"/>
              </w:rPr>
            </w:pPr>
            <w:r>
              <w:rPr>
                <w:rFonts w:hint="eastAsia" w:ascii="楷体" w:hAnsi="楷体" w:eastAsia="楷体" w:cs="Arial"/>
                <w:color w:val="000000"/>
                <w:sz w:val="24"/>
              </w:rPr>
              <w:t>质</w:t>
            </w:r>
          </w:p>
        </w:tc>
        <w:tc>
          <w:tcPr>
            <w:tcW w:w="708" w:type="dxa"/>
            <w:vMerge w:val="restart"/>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身体与</w:t>
            </w:r>
          </w:p>
          <w:p>
            <w:pPr>
              <w:snapToGrid w:val="0"/>
              <w:jc w:val="center"/>
              <w:rPr>
                <w:rFonts w:ascii="楷体" w:hAnsi="楷体" w:eastAsia="楷体" w:cs="Arial"/>
                <w:color w:val="000000"/>
                <w:sz w:val="24"/>
              </w:rPr>
            </w:pPr>
            <w:r>
              <w:rPr>
                <w:rFonts w:hint="eastAsia" w:ascii="楷体" w:hAnsi="楷体" w:eastAsia="楷体" w:cs="Arial"/>
                <w:color w:val="000000"/>
                <w:sz w:val="24"/>
              </w:rPr>
              <w:t>心理</w:t>
            </w:r>
          </w:p>
        </w:tc>
        <w:tc>
          <w:tcPr>
            <w:tcW w:w="709" w:type="dxa"/>
            <w:vMerge w:val="restart"/>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70</w:t>
            </w:r>
          </w:p>
        </w:tc>
        <w:tc>
          <w:tcPr>
            <w:tcW w:w="720"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40</w:t>
            </w:r>
          </w:p>
        </w:tc>
        <w:tc>
          <w:tcPr>
            <w:tcW w:w="6084" w:type="dxa"/>
          </w:tcPr>
          <w:p>
            <w:pPr>
              <w:snapToGrid w:val="0"/>
              <w:rPr>
                <w:rFonts w:ascii="楷体" w:hAnsi="楷体" w:eastAsia="楷体" w:cs="Arial"/>
                <w:color w:val="000000"/>
                <w:sz w:val="24"/>
              </w:rPr>
            </w:pPr>
            <w:r>
              <w:rPr>
                <w:rFonts w:hint="eastAsia" w:ascii="楷体" w:hAnsi="楷体" w:eastAsia="楷体" w:cs="Arial"/>
                <w:color w:val="000000"/>
                <w:sz w:val="24"/>
              </w:rPr>
              <w:t>身体素质符合企事业单位对会计相关岗位的要求。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86" w:type="dxa"/>
            <w:vMerge w:val="continue"/>
            <w:vAlign w:val="center"/>
          </w:tcPr>
          <w:p>
            <w:pPr>
              <w:snapToGrid w:val="0"/>
              <w:jc w:val="center"/>
              <w:rPr>
                <w:rFonts w:ascii="楷体" w:hAnsi="楷体" w:eastAsia="楷体" w:cs="Arial"/>
                <w:color w:val="000000"/>
                <w:sz w:val="24"/>
              </w:rPr>
            </w:pPr>
          </w:p>
        </w:tc>
        <w:tc>
          <w:tcPr>
            <w:tcW w:w="708" w:type="dxa"/>
            <w:vMerge w:val="continue"/>
          </w:tcPr>
          <w:p>
            <w:pPr>
              <w:snapToGrid w:val="0"/>
              <w:jc w:val="center"/>
              <w:rPr>
                <w:rFonts w:ascii="楷体" w:hAnsi="楷体" w:eastAsia="楷体" w:cs="Arial"/>
                <w:color w:val="000000"/>
                <w:sz w:val="24"/>
              </w:rPr>
            </w:pPr>
          </w:p>
        </w:tc>
        <w:tc>
          <w:tcPr>
            <w:tcW w:w="708" w:type="dxa"/>
            <w:vMerge w:val="continue"/>
            <w:vAlign w:val="center"/>
          </w:tcPr>
          <w:p>
            <w:pPr>
              <w:snapToGrid w:val="0"/>
              <w:jc w:val="center"/>
              <w:rPr>
                <w:rFonts w:ascii="楷体" w:hAnsi="楷体" w:eastAsia="楷体" w:cs="Arial"/>
                <w:color w:val="000000"/>
                <w:sz w:val="24"/>
              </w:rPr>
            </w:pPr>
          </w:p>
        </w:tc>
        <w:tc>
          <w:tcPr>
            <w:tcW w:w="709" w:type="dxa"/>
            <w:vMerge w:val="continue"/>
            <w:vAlign w:val="center"/>
          </w:tcPr>
          <w:p>
            <w:pPr>
              <w:snapToGrid w:val="0"/>
              <w:jc w:val="center"/>
              <w:rPr>
                <w:rFonts w:ascii="楷体" w:hAnsi="楷体" w:eastAsia="楷体" w:cs="Arial"/>
                <w:color w:val="000000"/>
                <w:sz w:val="24"/>
              </w:rPr>
            </w:pPr>
          </w:p>
        </w:tc>
        <w:tc>
          <w:tcPr>
            <w:tcW w:w="720"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20</w:t>
            </w:r>
          </w:p>
        </w:tc>
        <w:tc>
          <w:tcPr>
            <w:tcW w:w="6084" w:type="dxa"/>
          </w:tcPr>
          <w:p>
            <w:pPr>
              <w:widowControl/>
              <w:snapToGrid w:val="0"/>
              <w:rPr>
                <w:rFonts w:ascii="楷体" w:hAnsi="楷体" w:eastAsia="楷体" w:cs="Arial"/>
                <w:color w:val="000000"/>
                <w:sz w:val="24"/>
              </w:rPr>
            </w:pPr>
            <w:r>
              <w:rPr>
                <w:rFonts w:hint="eastAsia" w:ascii="楷体" w:hAnsi="楷体" w:eastAsia="楷体" w:cs="Arial"/>
                <w:color w:val="000000"/>
                <w:sz w:val="24"/>
              </w:rPr>
              <w:t>活泼开朗，积极上进，有自信心。</w:t>
            </w:r>
          </w:p>
          <w:p>
            <w:pPr>
              <w:widowControl/>
              <w:snapToGrid w:val="0"/>
              <w:rPr>
                <w:rFonts w:ascii="楷体" w:hAnsi="楷体" w:eastAsia="楷体" w:cs="Arial"/>
                <w:color w:val="000000"/>
                <w:kern w:val="0"/>
                <w:sz w:val="24"/>
              </w:rPr>
            </w:pPr>
            <w:r>
              <w:rPr>
                <w:rFonts w:hint="eastAsia" w:ascii="楷体" w:hAnsi="楷体" w:eastAsia="楷体" w:cs="Arial"/>
                <w:color w:val="000000"/>
                <w:sz w:val="24"/>
              </w:rPr>
              <w:t>具有一定的情绪调节和自控能力,不偏激，不固执。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86" w:type="dxa"/>
            <w:vMerge w:val="continue"/>
            <w:vAlign w:val="center"/>
          </w:tcPr>
          <w:p>
            <w:pPr>
              <w:snapToGrid w:val="0"/>
              <w:jc w:val="center"/>
              <w:rPr>
                <w:rFonts w:ascii="楷体" w:hAnsi="楷体" w:eastAsia="楷体" w:cs="Arial"/>
                <w:color w:val="000000"/>
                <w:sz w:val="24"/>
              </w:rPr>
            </w:pPr>
          </w:p>
        </w:tc>
        <w:tc>
          <w:tcPr>
            <w:tcW w:w="708" w:type="dxa"/>
            <w:vMerge w:val="continue"/>
          </w:tcPr>
          <w:p>
            <w:pPr>
              <w:snapToGrid w:val="0"/>
              <w:jc w:val="center"/>
              <w:rPr>
                <w:rFonts w:ascii="楷体" w:hAnsi="楷体" w:eastAsia="楷体" w:cs="Arial"/>
                <w:color w:val="000000"/>
                <w:sz w:val="24"/>
              </w:rPr>
            </w:pPr>
          </w:p>
        </w:tc>
        <w:tc>
          <w:tcPr>
            <w:tcW w:w="708" w:type="dxa"/>
            <w:vMerge w:val="continue"/>
            <w:vAlign w:val="center"/>
          </w:tcPr>
          <w:p>
            <w:pPr>
              <w:snapToGrid w:val="0"/>
              <w:jc w:val="center"/>
              <w:rPr>
                <w:rFonts w:ascii="楷体" w:hAnsi="楷体" w:eastAsia="楷体" w:cs="Arial"/>
                <w:color w:val="000000"/>
                <w:sz w:val="24"/>
              </w:rPr>
            </w:pPr>
          </w:p>
        </w:tc>
        <w:tc>
          <w:tcPr>
            <w:tcW w:w="709" w:type="dxa"/>
            <w:vMerge w:val="continue"/>
            <w:vAlign w:val="center"/>
          </w:tcPr>
          <w:p>
            <w:pPr>
              <w:snapToGrid w:val="0"/>
              <w:jc w:val="center"/>
              <w:rPr>
                <w:rFonts w:ascii="楷体" w:hAnsi="楷体" w:eastAsia="楷体" w:cs="Arial"/>
                <w:color w:val="000000"/>
                <w:sz w:val="24"/>
              </w:rPr>
            </w:pPr>
          </w:p>
        </w:tc>
        <w:tc>
          <w:tcPr>
            <w:tcW w:w="720"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10</w:t>
            </w:r>
          </w:p>
        </w:tc>
        <w:tc>
          <w:tcPr>
            <w:tcW w:w="6084" w:type="dxa"/>
          </w:tcPr>
          <w:p>
            <w:pPr>
              <w:widowControl/>
              <w:snapToGrid w:val="0"/>
              <w:rPr>
                <w:rFonts w:ascii="楷体" w:hAnsi="楷体" w:eastAsia="楷体" w:cs="Arial"/>
                <w:color w:val="000000"/>
                <w:sz w:val="24"/>
              </w:rPr>
            </w:pPr>
            <w:r>
              <w:rPr>
                <w:rFonts w:hint="eastAsia" w:ascii="楷体" w:hAnsi="楷体" w:eastAsia="楷体" w:cs="Arial"/>
                <w:color w:val="000000"/>
                <w:sz w:val="24"/>
              </w:rPr>
              <w:t>能够冷静地处理问题，具有较强的应变能力。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86" w:type="dxa"/>
            <w:vMerge w:val="continue"/>
            <w:vAlign w:val="center"/>
          </w:tcPr>
          <w:p>
            <w:pPr>
              <w:snapToGrid w:val="0"/>
              <w:jc w:val="center"/>
              <w:rPr>
                <w:rFonts w:ascii="楷体" w:hAnsi="楷体" w:eastAsia="楷体" w:cs="Arial"/>
                <w:color w:val="000000"/>
                <w:sz w:val="24"/>
              </w:rPr>
            </w:pPr>
          </w:p>
        </w:tc>
        <w:tc>
          <w:tcPr>
            <w:tcW w:w="708" w:type="dxa"/>
            <w:vMerge w:val="continue"/>
          </w:tcPr>
          <w:p>
            <w:pPr>
              <w:snapToGrid w:val="0"/>
              <w:jc w:val="center"/>
              <w:rPr>
                <w:rFonts w:ascii="楷体" w:hAnsi="楷体" w:eastAsia="楷体" w:cs="Arial"/>
                <w:color w:val="000000"/>
                <w:sz w:val="24"/>
              </w:rPr>
            </w:pPr>
          </w:p>
        </w:tc>
        <w:tc>
          <w:tcPr>
            <w:tcW w:w="708" w:type="dxa"/>
            <w:vMerge w:val="restart"/>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言语表达</w:t>
            </w:r>
          </w:p>
        </w:tc>
        <w:tc>
          <w:tcPr>
            <w:tcW w:w="709" w:type="dxa"/>
            <w:vMerge w:val="restart"/>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30</w:t>
            </w:r>
          </w:p>
        </w:tc>
        <w:tc>
          <w:tcPr>
            <w:tcW w:w="720"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10</w:t>
            </w:r>
          </w:p>
        </w:tc>
        <w:tc>
          <w:tcPr>
            <w:tcW w:w="6084" w:type="dxa"/>
          </w:tcPr>
          <w:p>
            <w:pPr>
              <w:snapToGrid w:val="0"/>
              <w:rPr>
                <w:rFonts w:ascii="楷体" w:hAnsi="楷体" w:eastAsia="楷体" w:cs="Arial"/>
                <w:color w:val="000000"/>
                <w:sz w:val="24"/>
              </w:rPr>
            </w:pPr>
            <w:r>
              <w:rPr>
                <w:rFonts w:hint="eastAsia" w:ascii="楷体" w:hAnsi="楷体" w:eastAsia="楷体" w:cs="Arial"/>
                <w:color w:val="000000"/>
                <w:sz w:val="24"/>
              </w:rPr>
              <w:t>口齿清楚，语速适宜，表达准确，简洁、流畅。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86" w:type="dxa"/>
            <w:vMerge w:val="continue"/>
            <w:vAlign w:val="center"/>
          </w:tcPr>
          <w:p>
            <w:pPr>
              <w:snapToGrid w:val="0"/>
              <w:jc w:val="center"/>
              <w:rPr>
                <w:rFonts w:ascii="楷体" w:hAnsi="楷体" w:eastAsia="楷体" w:cs="Arial"/>
                <w:color w:val="000000"/>
                <w:sz w:val="24"/>
              </w:rPr>
            </w:pPr>
          </w:p>
        </w:tc>
        <w:tc>
          <w:tcPr>
            <w:tcW w:w="708" w:type="dxa"/>
            <w:vMerge w:val="continue"/>
          </w:tcPr>
          <w:p>
            <w:pPr>
              <w:snapToGrid w:val="0"/>
              <w:rPr>
                <w:rFonts w:ascii="楷体" w:hAnsi="楷体" w:eastAsia="楷体" w:cs="Arial"/>
                <w:color w:val="000000"/>
                <w:sz w:val="24"/>
              </w:rPr>
            </w:pPr>
          </w:p>
        </w:tc>
        <w:tc>
          <w:tcPr>
            <w:tcW w:w="708" w:type="dxa"/>
            <w:vMerge w:val="continue"/>
            <w:vAlign w:val="center"/>
          </w:tcPr>
          <w:p>
            <w:pPr>
              <w:snapToGrid w:val="0"/>
              <w:rPr>
                <w:rFonts w:ascii="楷体" w:hAnsi="楷体" w:eastAsia="楷体" w:cs="Arial"/>
                <w:color w:val="000000"/>
                <w:sz w:val="24"/>
              </w:rPr>
            </w:pPr>
          </w:p>
        </w:tc>
        <w:tc>
          <w:tcPr>
            <w:tcW w:w="709" w:type="dxa"/>
            <w:vMerge w:val="continue"/>
            <w:vAlign w:val="center"/>
          </w:tcPr>
          <w:p>
            <w:pPr>
              <w:snapToGrid w:val="0"/>
              <w:rPr>
                <w:rFonts w:ascii="楷体" w:hAnsi="楷体" w:eastAsia="楷体" w:cs="Arial"/>
                <w:color w:val="000000"/>
                <w:sz w:val="24"/>
              </w:rPr>
            </w:pPr>
          </w:p>
        </w:tc>
        <w:tc>
          <w:tcPr>
            <w:tcW w:w="720"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10</w:t>
            </w:r>
          </w:p>
        </w:tc>
        <w:tc>
          <w:tcPr>
            <w:tcW w:w="6084" w:type="dxa"/>
          </w:tcPr>
          <w:p>
            <w:pPr>
              <w:snapToGrid w:val="0"/>
              <w:rPr>
                <w:rFonts w:ascii="楷体" w:hAnsi="楷体" w:eastAsia="楷体" w:cs="Arial"/>
                <w:color w:val="000000"/>
                <w:kern w:val="0"/>
                <w:sz w:val="24"/>
              </w:rPr>
            </w:pPr>
            <w:r>
              <w:rPr>
                <w:rFonts w:hint="eastAsia" w:ascii="楷体" w:hAnsi="楷体" w:eastAsia="楷体" w:cs="Arial"/>
                <w:color w:val="000000"/>
                <w:sz w:val="24"/>
              </w:rPr>
              <w:t>善于倾听、交流，较准确地表达自己的观点。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86" w:type="dxa"/>
            <w:vMerge w:val="continue"/>
            <w:vAlign w:val="center"/>
          </w:tcPr>
          <w:p>
            <w:pPr>
              <w:snapToGrid w:val="0"/>
              <w:jc w:val="center"/>
              <w:rPr>
                <w:rFonts w:ascii="楷体" w:hAnsi="楷体" w:eastAsia="楷体" w:cs="Arial"/>
                <w:color w:val="000000"/>
                <w:sz w:val="24"/>
              </w:rPr>
            </w:pPr>
          </w:p>
        </w:tc>
        <w:tc>
          <w:tcPr>
            <w:tcW w:w="708" w:type="dxa"/>
            <w:vMerge w:val="continue"/>
          </w:tcPr>
          <w:p>
            <w:pPr>
              <w:snapToGrid w:val="0"/>
              <w:rPr>
                <w:rFonts w:ascii="楷体" w:hAnsi="楷体" w:eastAsia="楷体" w:cs="Arial"/>
                <w:color w:val="000000"/>
                <w:sz w:val="24"/>
              </w:rPr>
            </w:pPr>
          </w:p>
        </w:tc>
        <w:tc>
          <w:tcPr>
            <w:tcW w:w="708" w:type="dxa"/>
            <w:vMerge w:val="continue"/>
            <w:vAlign w:val="center"/>
          </w:tcPr>
          <w:p>
            <w:pPr>
              <w:snapToGrid w:val="0"/>
              <w:rPr>
                <w:rFonts w:ascii="楷体" w:hAnsi="楷体" w:eastAsia="楷体" w:cs="Arial"/>
                <w:color w:val="000000"/>
                <w:sz w:val="24"/>
              </w:rPr>
            </w:pPr>
          </w:p>
        </w:tc>
        <w:tc>
          <w:tcPr>
            <w:tcW w:w="709" w:type="dxa"/>
            <w:vMerge w:val="continue"/>
            <w:vAlign w:val="center"/>
          </w:tcPr>
          <w:p>
            <w:pPr>
              <w:snapToGrid w:val="0"/>
              <w:rPr>
                <w:rFonts w:ascii="楷体" w:hAnsi="楷体" w:eastAsia="楷体" w:cs="Arial"/>
                <w:color w:val="000000"/>
                <w:sz w:val="24"/>
              </w:rPr>
            </w:pPr>
          </w:p>
        </w:tc>
        <w:tc>
          <w:tcPr>
            <w:tcW w:w="720"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10</w:t>
            </w:r>
          </w:p>
        </w:tc>
        <w:tc>
          <w:tcPr>
            <w:tcW w:w="6084" w:type="dxa"/>
          </w:tcPr>
          <w:p>
            <w:pPr>
              <w:widowControl/>
              <w:snapToGrid w:val="0"/>
              <w:rPr>
                <w:rFonts w:ascii="楷体" w:hAnsi="楷体" w:eastAsia="楷体" w:cs="Arial"/>
                <w:color w:val="000000"/>
                <w:sz w:val="24"/>
              </w:rPr>
            </w:pPr>
            <w:r>
              <w:rPr>
                <w:rFonts w:hint="eastAsia" w:ascii="楷体" w:hAnsi="楷体" w:eastAsia="楷体" w:cs="Arial"/>
                <w:color w:val="000000"/>
                <w:sz w:val="24"/>
              </w:rPr>
              <w:t>在交流中尊重对方、态度积极，并能做出恰当的回应。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86" w:type="dxa"/>
            <w:vMerge w:val="continue"/>
            <w:vAlign w:val="center"/>
          </w:tcPr>
          <w:p>
            <w:pPr>
              <w:snapToGrid w:val="0"/>
              <w:jc w:val="center"/>
              <w:rPr>
                <w:rFonts w:ascii="楷体" w:hAnsi="楷体" w:eastAsia="楷体" w:cs="Arial"/>
                <w:color w:val="000000"/>
                <w:sz w:val="24"/>
              </w:rPr>
            </w:pPr>
          </w:p>
        </w:tc>
        <w:tc>
          <w:tcPr>
            <w:tcW w:w="708" w:type="dxa"/>
            <w:vMerge w:val="continue"/>
          </w:tcPr>
          <w:p>
            <w:pPr>
              <w:snapToGrid w:val="0"/>
              <w:jc w:val="center"/>
              <w:rPr>
                <w:rFonts w:ascii="楷体" w:hAnsi="楷体" w:eastAsia="楷体" w:cs="Arial"/>
                <w:color w:val="000000"/>
                <w:sz w:val="24"/>
              </w:rPr>
            </w:pPr>
          </w:p>
        </w:tc>
        <w:tc>
          <w:tcPr>
            <w:tcW w:w="708" w:type="dxa"/>
            <w:vMerge w:val="restart"/>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思维品质</w:t>
            </w:r>
          </w:p>
        </w:tc>
        <w:tc>
          <w:tcPr>
            <w:tcW w:w="709" w:type="dxa"/>
            <w:vMerge w:val="restart"/>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30</w:t>
            </w:r>
          </w:p>
        </w:tc>
        <w:tc>
          <w:tcPr>
            <w:tcW w:w="720"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10</w:t>
            </w:r>
          </w:p>
        </w:tc>
        <w:tc>
          <w:tcPr>
            <w:tcW w:w="6084" w:type="dxa"/>
            <w:vAlign w:val="center"/>
          </w:tcPr>
          <w:p>
            <w:pPr>
              <w:snapToGrid w:val="0"/>
              <w:rPr>
                <w:rFonts w:ascii="楷体" w:hAnsi="楷体" w:eastAsia="楷体" w:cs="Arial"/>
                <w:color w:val="000000"/>
                <w:sz w:val="24"/>
              </w:rPr>
            </w:pPr>
            <w:r>
              <w:rPr>
                <w:rFonts w:hint="eastAsia" w:ascii="楷体" w:hAnsi="楷体" w:eastAsia="楷体" w:cs="Arial"/>
                <w:color w:val="000000"/>
                <w:sz w:val="24"/>
              </w:rPr>
              <w:t>思维严密，条理清晰，逻辑性强。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86" w:type="dxa"/>
            <w:vMerge w:val="continue"/>
            <w:vAlign w:val="center"/>
          </w:tcPr>
          <w:p>
            <w:pPr>
              <w:snapToGrid w:val="0"/>
              <w:jc w:val="center"/>
              <w:rPr>
                <w:rFonts w:ascii="楷体" w:hAnsi="楷体" w:eastAsia="楷体" w:cs="Arial"/>
                <w:color w:val="000000"/>
                <w:sz w:val="24"/>
              </w:rPr>
            </w:pPr>
          </w:p>
        </w:tc>
        <w:tc>
          <w:tcPr>
            <w:tcW w:w="708" w:type="dxa"/>
            <w:vMerge w:val="continue"/>
          </w:tcPr>
          <w:p>
            <w:pPr>
              <w:snapToGrid w:val="0"/>
              <w:jc w:val="center"/>
              <w:rPr>
                <w:rFonts w:ascii="楷体" w:hAnsi="楷体" w:eastAsia="楷体" w:cs="Arial"/>
                <w:color w:val="000000"/>
                <w:sz w:val="24"/>
              </w:rPr>
            </w:pPr>
          </w:p>
        </w:tc>
        <w:tc>
          <w:tcPr>
            <w:tcW w:w="708" w:type="dxa"/>
            <w:vMerge w:val="continue"/>
            <w:vAlign w:val="center"/>
          </w:tcPr>
          <w:p>
            <w:pPr>
              <w:snapToGrid w:val="0"/>
              <w:jc w:val="center"/>
              <w:rPr>
                <w:rFonts w:ascii="楷体" w:hAnsi="楷体" w:eastAsia="楷体" w:cs="Arial"/>
                <w:color w:val="000000"/>
                <w:sz w:val="24"/>
              </w:rPr>
            </w:pPr>
          </w:p>
        </w:tc>
        <w:tc>
          <w:tcPr>
            <w:tcW w:w="709" w:type="dxa"/>
            <w:vMerge w:val="continue"/>
            <w:vAlign w:val="center"/>
          </w:tcPr>
          <w:p>
            <w:pPr>
              <w:snapToGrid w:val="0"/>
              <w:jc w:val="center"/>
              <w:rPr>
                <w:rFonts w:ascii="楷体" w:hAnsi="楷体" w:eastAsia="楷体" w:cs="Arial"/>
                <w:color w:val="000000"/>
                <w:sz w:val="24"/>
              </w:rPr>
            </w:pPr>
          </w:p>
        </w:tc>
        <w:tc>
          <w:tcPr>
            <w:tcW w:w="720"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10</w:t>
            </w:r>
          </w:p>
        </w:tc>
        <w:tc>
          <w:tcPr>
            <w:tcW w:w="6084" w:type="dxa"/>
            <w:vAlign w:val="center"/>
          </w:tcPr>
          <w:p>
            <w:pPr>
              <w:snapToGrid w:val="0"/>
              <w:rPr>
                <w:rFonts w:ascii="楷体" w:hAnsi="楷体" w:eastAsia="楷体" w:cs="Arial"/>
                <w:color w:val="000000"/>
                <w:spacing w:val="-8"/>
                <w:sz w:val="24"/>
              </w:rPr>
            </w:pPr>
            <w:r>
              <w:rPr>
                <w:rFonts w:hint="eastAsia" w:ascii="楷体" w:hAnsi="楷体" w:eastAsia="楷体" w:cs="Arial"/>
                <w:color w:val="000000"/>
                <w:sz w:val="24"/>
              </w:rPr>
              <w:t>正确地理解和分析问题，抓住要点，并及时做出适当的反应。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86" w:type="dxa"/>
            <w:vMerge w:val="continue"/>
            <w:vAlign w:val="center"/>
          </w:tcPr>
          <w:p>
            <w:pPr>
              <w:snapToGrid w:val="0"/>
              <w:rPr>
                <w:rFonts w:ascii="楷体" w:hAnsi="楷体" w:eastAsia="楷体" w:cs="Arial"/>
                <w:color w:val="000000"/>
                <w:sz w:val="24"/>
              </w:rPr>
            </w:pPr>
          </w:p>
        </w:tc>
        <w:tc>
          <w:tcPr>
            <w:tcW w:w="708" w:type="dxa"/>
            <w:vMerge w:val="continue"/>
          </w:tcPr>
          <w:p>
            <w:pPr>
              <w:snapToGrid w:val="0"/>
              <w:rPr>
                <w:rFonts w:ascii="楷体" w:hAnsi="楷体" w:eastAsia="楷体" w:cs="Arial"/>
                <w:color w:val="000000"/>
                <w:sz w:val="24"/>
              </w:rPr>
            </w:pPr>
          </w:p>
        </w:tc>
        <w:tc>
          <w:tcPr>
            <w:tcW w:w="708" w:type="dxa"/>
            <w:vMerge w:val="continue"/>
            <w:vAlign w:val="center"/>
          </w:tcPr>
          <w:p>
            <w:pPr>
              <w:snapToGrid w:val="0"/>
              <w:rPr>
                <w:rFonts w:ascii="楷体" w:hAnsi="楷体" w:eastAsia="楷体" w:cs="Arial"/>
                <w:color w:val="000000"/>
                <w:sz w:val="24"/>
              </w:rPr>
            </w:pPr>
          </w:p>
        </w:tc>
        <w:tc>
          <w:tcPr>
            <w:tcW w:w="709" w:type="dxa"/>
            <w:vMerge w:val="continue"/>
            <w:vAlign w:val="center"/>
          </w:tcPr>
          <w:p>
            <w:pPr>
              <w:snapToGrid w:val="0"/>
              <w:rPr>
                <w:rFonts w:ascii="楷体" w:hAnsi="楷体" w:eastAsia="楷体" w:cs="Arial"/>
                <w:color w:val="000000"/>
                <w:sz w:val="24"/>
              </w:rPr>
            </w:pPr>
          </w:p>
        </w:tc>
        <w:tc>
          <w:tcPr>
            <w:tcW w:w="720"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10</w:t>
            </w:r>
          </w:p>
        </w:tc>
        <w:tc>
          <w:tcPr>
            <w:tcW w:w="6084" w:type="dxa"/>
          </w:tcPr>
          <w:p>
            <w:pPr>
              <w:widowControl/>
              <w:snapToGrid w:val="0"/>
              <w:rPr>
                <w:rFonts w:ascii="楷体" w:hAnsi="楷体" w:eastAsia="楷体" w:cs="Arial"/>
                <w:color w:val="000000"/>
                <w:kern w:val="0"/>
                <w:sz w:val="24"/>
              </w:rPr>
            </w:pPr>
            <w:r>
              <w:rPr>
                <w:rFonts w:hint="eastAsia" w:ascii="楷体" w:hAnsi="楷体" w:eastAsia="楷体" w:cs="Arial"/>
                <w:color w:val="000000"/>
                <w:kern w:val="0"/>
                <w:sz w:val="24"/>
              </w:rPr>
              <w:t>看待问题全面，思维灵活，有较好的应变能力和</w:t>
            </w:r>
            <w:r>
              <w:rPr>
                <w:rFonts w:hint="eastAsia" w:ascii="楷体" w:hAnsi="楷体" w:eastAsia="楷体" w:cs="Arial"/>
                <w:color w:val="000000"/>
                <w:sz w:val="24"/>
              </w:rPr>
              <w:t>创新意识。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786" w:type="dxa"/>
            <w:vMerge w:val="restart"/>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2</w:t>
            </w:r>
          </w:p>
        </w:tc>
        <w:tc>
          <w:tcPr>
            <w:tcW w:w="1416" w:type="dxa"/>
            <w:gridSpan w:val="2"/>
            <w:vMerge w:val="restart"/>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职业</w:t>
            </w:r>
          </w:p>
          <w:p>
            <w:pPr>
              <w:snapToGrid w:val="0"/>
              <w:jc w:val="center"/>
              <w:rPr>
                <w:rFonts w:ascii="楷体" w:hAnsi="楷体" w:eastAsia="楷体" w:cs="Arial"/>
                <w:color w:val="000000"/>
                <w:sz w:val="24"/>
              </w:rPr>
            </w:pPr>
            <w:r>
              <w:rPr>
                <w:rFonts w:hint="eastAsia" w:ascii="楷体" w:hAnsi="楷体" w:eastAsia="楷体" w:cs="Arial"/>
                <w:color w:val="000000"/>
                <w:sz w:val="24"/>
              </w:rPr>
              <w:t>认知</w:t>
            </w:r>
          </w:p>
        </w:tc>
        <w:tc>
          <w:tcPr>
            <w:tcW w:w="709" w:type="dxa"/>
            <w:vMerge w:val="restart"/>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90</w:t>
            </w:r>
          </w:p>
        </w:tc>
        <w:tc>
          <w:tcPr>
            <w:tcW w:w="720"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30</w:t>
            </w:r>
          </w:p>
        </w:tc>
        <w:tc>
          <w:tcPr>
            <w:tcW w:w="6084" w:type="dxa"/>
          </w:tcPr>
          <w:p>
            <w:pPr>
              <w:snapToGrid w:val="0"/>
              <w:rPr>
                <w:rFonts w:ascii="楷体" w:hAnsi="楷体" w:eastAsia="楷体" w:cs="Arial"/>
                <w:color w:val="000000"/>
                <w:sz w:val="24"/>
              </w:rPr>
            </w:pPr>
            <w:r>
              <w:rPr>
                <w:rFonts w:hint="eastAsia" w:ascii="楷体" w:hAnsi="楷体" w:eastAsia="楷体" w:cs="Arial"/>
                <w:color w:val="000000"/>
                <w:sz w:val="24"/>
              </w:rPr>
              <w:t>对会计业有浓厚的兴趣，对会计行业有正确的职业认知和价值取向。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2" w:hRule="atLeast"/>
          <w:jc w:val="center"/>
        </w:trPr>
        <w:tc>
          <w:tcPr>
            <w:tcW w:w="786" w:type="dxa"/>
            <w:vMerge w:val="continue"/>
            <w:vAlign w:val="center"/>
          </w:tcPr>
          <w:p>
            <w:pPr>
              <w:snapToGrid w:val="0"/>
              <w:jc w:val="center"/>
              <w:rPr>
                <w:rFonts w:ascii="楷体" w:hAnsi="楷体" w:eastAsia="楷体" w:cs="Arial"/>
                <w:color w:val="000000"/>
                <w:sz w:val="24"/>
              </w:rPr>
            </w:pPr>
          </w:p>
        </w:tc>
        <w:tc>
          <w:tcPr>
            <w:tcW w:w="1416" w:type="dxa"/>
            <w:gridSpan w:val="2"/>
            <w:vMerge w:val="continue"/>
          </w:tcPr>
          <w:p>
            <w:pPr>
              <w:snapToGrid w:val="0"/>
              <w:jc w:val="center"/>
              <w:rPr>
                <w:rFonts w:ascii="楷体" w:hAnsi="楷体" w:eastAsia="楷体" w:cs="Arial"/>
                <w:color w:val="000000"/>
                <w:sz w:val="24"/>
              </w:rPr>
            </w:pPr>
          </w:p>
        </w:tc>
        <w:tc>
          <w:tcPr>
            <w:tcW w:w="709" w:type="dxa"/>
            <w:vMerge w:val="continue"/>
            <w:vAlign w:val="center"/>
          </w:tcPr>
          <w:p>
            <w:pPr>
              <w:snapToGrid w:val="0"/>
              <w:jc w:val="center"/>
              <w:rPr>
                <w:rFonts w:ascii="楷体" w:hAnsi="楷体" w:eastAsia="楷体" w:cs="Arial"/>
                <w:color w:val="000000"/>
                <w:sz w:val="24"/>
              </w:rPr>
            </w:pPr>
          </w:p>
        </w:tc>
        <w:tc>
          <w:tcPr>
            <w:tcW w:w="720"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30</w:t>
            </w:r>
          </w:p>
        </w:tc>
        <w:tc>
          <w:tcPr>
            <w:tcW w:w="6084" w:type="dxa"/>
          </w:tcPr>
          <w:p>
            <w:pPr>
              <w:snapToGrid w:val="0"/>
              <w:rPr>
                <w:rFonts w:ascii="楷体" w:hAnsi="楷体" w:eastAsia="楷体" w:cs="Arial"/>
                <w:color w:val="000000"/>
                <w:sz w:val="24"/>
              </w:rPr>
            </w:pPr>
            <w:r>
              <w:rPr>
                <w:rFonts w:hint="eastAsia" w:ascii="楷体" w:hAnsi="楷体" w:eastAsia="楷体" w:cs="Arial"/>
                <w:color w:val="000000"/>
                <w:sz w:val="24"/>
              </w:rPr>
              <w:t>对加入会计行业有较强的愿望。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jc w:val="center"/>
        </w:trPr>
        <w:tc>
          <w:tcPr>
            <w:tcW w:w="786" w:type="dxa"/>
            <w:vMerge w:val="continue"/>
            <w:vAlign w:val="center"/>
          </w:tcPr>
          <w:p>
            <w:pPr>
              <w:snapToGrid w:val="0"/>
              <w:jc w:val="center"/>
              <w:rPr>
                <w:rFonts w:ascii="楷体" w:hAnsi="楷体" w:eastAsia="楷体" w:cs="Arial"/>
                <w:color w:val="000000"/>
                <w:sz w:val="24"/>
              </w:rPr>
            </w:pPr>
          </w:p>
        </w:tc>
        <w:tc>
          <w:tcPr>
            <w:tcW w:w="1416" w:type="dxa"/>
            <w:gridSpan w:val="2"/>
            <w:vMerge w:val="continue"/>
          </w:tcPr>
          <w:p>
            <w:pPr>
              <w:snapToGrid w:val="0"/>
              <w:jc w:val="center"/>
              <w:rPr>
                <w:rFonts w:ascii="楷体" w:hAnsi="楷体" w:eastAsia="楷体" w:cs="Arial"/>
                <w:color w:val="000000"/>
                <w:sz w:val="24"/>
              </w:rPr>
            </w:pPr>
          </w:p>
        </w:tc>
        <w:tc>
          <w:tcPr>
            <w:tcW w:w="709" w:type="dxa"/>
            <w:vMerge w:val="continue"/>
            <w:vAlign w:val="center"/>
          </w:tcPr>
          <w:p>
            <w:pPr>
              <w:snapToGrid w:val="0"/>
              <w:jc w:val="center"/>
              <w:rPr>
                <w:rFonts w:ascii="楷体" w:hAnsi="楷体" w:eastAsia="楷体" w:cs="Arial"/>
                <w:color w:val="000000"/>
                <w:sz w:val="24"/>
              </w:rPr>
            </w:pPr>
          </w:p>
        </w:tc>
        <w:tc>
          <w:tcPr>
            <w:tcW w:w="720"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30</w:t>
            </w:r>
          </w:p>
        </w:tc>
        <w:tc>
          <w:tcPr>
            <w:tcW w:w="6084" w:type="dxa"/>
          </w:tcPr>
          <w:p>
            <w:pPr>
              <w:snapToGrid w:val="0"/>
              <w:rPr>
                <w:rFonts w:ascii="楷体" w:hAnsi="楷体" w:eastAsia="楷体" w:cs="Arial"/>
                <w:color w:val="000000"/>
                <w:sz w:val="24"/>
              </w:rPr>
            </w:pPr>
            <w:r>
              <w:rPr>
                <w:rFonts w:hint="eastAsia" w:ascii="楷体" w:hAnsi="楷体" w:eastAsia="楷体" w:cs="Arial"/>
                <w:color w:val="000000"/>
                <w:sz w:val="24"/>
              </w:rPr>
              <w:t>有较强的服务意识和持续学习的能力。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 w:hRule="atLeast"/>
          <w:jc w:val="center"/>
        </w:trPr>
        <w:tc>
          <w:tcPr>
            <w:tcW w:w="786" w:type="dxa"/>
            <w:vMerge w:val="restart"/>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3</w:t>
            </w:r>
          </w:p>
        </w:tc>
        <w:tc>
          <w:tcPr>
            <w:tcW w:w="1416" w:type="dxa"/>
            <w:gridSpan w:val="2"/>
            <w:vMerge w:val="restart"/>
          </w:tcPr>
          <w:p>
            <w:pPr>
              <w:snapToGrid w:val="0"/>
              <w:jc w:val="center"/>
              <w:rPr>
                <w:rFonts w:ascii="楷体" w:hAnsi="楷体" w:eastAsia="楷体" w:cs="Arial"/>
                <w:color w:val="000000"/>
                <w:sz w:val="24"/>
              </w:rPr>
            </w:pPr>
            <w:r>
              <w:rPr>
                <w:rFonts w:hint="eastAsia" w:ascii="楷体" w:hAnsi="楷体" w:eastAsia="楷体" w:cs="Arial"/>
                <w:color w:val="000000"/>
                <w:sz w:val="24"/>
              </w:rPr>
              <w:t>仪态</w:t>
            </w:r>
          </w:p>
          <w:p>
            <w:pPr>
              <w:snapToGrid w:val="0"/>
              <w:jc w:val="center"/>
              <w:rPr>
                <w:rFonts w:ascii="楷体" w:hAnsi="楷体" w:eastAsia="楷体" w:cs="Arial"/>
                <w:color w:val="000000"/>
                <w:sz w:val="24"/>
              </w:rPr>
            </w:pPr>
            <w:r>
              <w:rPr>
                <w:rFonts w:hint="eastAsia" w:ascii="楷体" w:hAnsi="楷体" w:eastAsia="楷体" w:cs="Arial"/>
                <w:color w:val="000000"/>
                <w:sz w:val="24"/>
              </w:rPr>
              <w:t>仪容</w:t>
            </w:r>
          </w:p>
        </w:tc>
        <w:tc>
          <w:tcPr>
            <w:tcW w:w="709" w:type="dxa"/>
            <w:vMerge w:val="restart"/>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40</w:t>
            </w:r>
          </w:p>
        </w:tc>
        <w:tc>
          <w:tcPr>
            <w:tcW w:w="720"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20</w:t>
            </w:r>
          </w:p>
        </w:tc>
        <w:tc>
          <w:tcPr>
            <w:tcW w:w="6084" w:type="dxa"/>
          </w:tcPr>
          <w:p>
            <w:pPr>
              <w:widowControl/>
              <w:snapToGrid w:val="0"/>
              <w:rPr>
                <w:rFonts w:ascii="楷体" w:hAnsi="楷体" w:eastAsia="楷体" w:cs="Arial"/>
                <w:color w:val="000000"/>
                <w:kern w:val="0"/>
                <w:sz w:val="24"/>
              </w:rPr>
            </w:pPr>
            <w:r>
              <w:rPr>
                <w:rFonts w:hint="eastAsia" w:ascii="楷体" w:hAnsi="楷体" w:eastAsia="楷体" w:cs="宋体"/>
                <w:color w:val="000000"/>
                <w:kern w:val="0"/>
                <w:sz w:val="24"/>
              </w:rPr>
              <w:t>衣着整洁，仪表得体，</w:t>
            </w:r>
            <w:r>
              <w:rPr>
                <w:rFonts w:hint="eastAsia" w:ascii="楷体" w:hAnsi="楷体" w:eastAsia="楷体" w:cs="Arial"/>
                <w:color w:val="000000"/>
                <w:sz w:val="24"/>
              </w:rPr>
              <w:t>符合服务业职业特点。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 w:hRule="atLeast"/>
          <w:jc w:val="center"/>
        </w:trPr>
        <w:tc>
          <w:tcPr>
            <w:tcW w:w="786" w:type="dxa"/>
            <w:vMerge w:val="continue"/>
            <w:vAlign w:val="center"/>
          </w:tcPr>
          <w:p>
            <w:pPr>
              <w:snapToGrid w:val="0"/>
              <w:jc w:val="center"/>
              <w:rPr>
                <w:rFonts w:ascii="楷体" w:hAnsi="楷体" w:eastAsia="楷体" w:cs="Arial"/>
                <w:color w:val="000000"/>
                <w:sz w:val="24"/>
              </w:rPr>
            </w:pPr>
          </w:p>
        </w:tc>
        <w:tc>
          <w:tcPr>
            <w:tcW w:w="1416" w:type="dxa"/>
            <w:gridSpan w:val="2"/>
            <w:vMerge w:val="continue"/>
          </w:tcPr>
          <w:p>
            <w:pPr>
              <w:snapToGrid w:val="0"/>
              <w:jc w:val="center"/>
              <w:rPr>
                <w:rFonts w:ascii="楷体" w:hAnsi="楷体" w:eastAsia="楷体" w:cs="Arial"/>
                <w:color w:val="000000"/>
                <w:sz w:val="24"/>
              </w:rPr>
            </w:pPr>
          </w:p>
        </w:tc>
        <w:tc>
          <w:tcPr>
            <w:tcW w:w="709" w:type="dxa"/>
            <w:vMerge w:val="continue"/>
            <w:vAlign w:val="center"/>
          </w:tcPr>
          <w:p>
            <w:pPr>
              <w:snapToGrid w:val="0"/>
              <w:jc w:val="center"/>
              <w:rPr>
                <w:rFonts w:ascii="楷体" w:hAnsi="楷体" w:eastAsia="楷体" w:cs="Arial"/>
                <w:color w:val="000000"/>
                <w:sz w:val="24"/>
              </w:rPr>
            </w:pPr>
          </w:p>
        </w:tc>
        <w:tc>
          <w:tcPr>
            <w:tcW w:w="720"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10</w:t>
            </w:r>
          </w:p>
        </w:tc>
        <w:tc>
          <w:tcPr>
            <w:tcW w:w="6084" w:type="dxa"/>
          </w:tcPr>
          <w:p>
            <w:pPr>
              <w:widowControl/>
              <w:snapToGrid w:val="0"/>
              <w:rPr>
                <w:rFonts w:ascii="楷体" w:hAnsi="楷体" w:eastAsia="楷体" w:cs="Arial"/>
                <w:color w:val="000000"/>
                <w:kern w:val="0"/>
                <w:sz w:val="24"/>
              </w:rPr>
            </w:pPr>
            <w:r>
              <w:rPr>
                <w:rFonts w:hint="eastAsia" w:ascii="楷体" w:hAnsi="楷体" w:eastAsia="楷体" w:cs="Arial"/>
                <w:color w:val="000000"/>
                <w:kern w:val="0"/>
                <w:sz w:val="24"/>
              </w:rPr>
              <w:t>五官端正，</w:t>
            </w:r>
            <w:r>
              <w:rPr>
                <w:rFonts w:hint="eastAsia" w:ascii="楷体" w:hAnsi="楷体" w:eastAsia="楷体" w:cs="宋体"/>
                <w:color w:val="000000"/>
                <w:kern w:val="0"/>
                <w:sz w:val="24"/>
              </w:rPr>
              <w:t>姿态自然</w:t>
            </w:r>
            <w:r>
              <w:rPr>
                <w:rFonts w:hint="eastAsia" w:ascii="楷体" w:hAnsi="楷体" w:eastAsia="楷体" w:cs="Arial"/>
                <w:color w:val="000000"/>
                <w:kern w:val="0"/>
                <w:sz w:val="24"/>
              </w:rPr>
              <w:t>，</w:t>
            </w:r>
            <w:r>
              <w:rPr>
                <w:rFonts w:hint="eastAsia" w:ascii="楷体" w:hAnsi="楷体" w:eastAsia="楷体" w:cs="宋体"/>
                <w:color w:val="000000"/>
                <w:kern w:val="0"/>
                <w:sz w:val="24"/>
              </w:rPr>
              <w:t>肢体表达得当。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 w:hRule="atLeast"/>
          <w:jc w:val="center"/>
        </w:trPr>
        <w:tc>
          <w:tcPr>
            <w:tcW w:w="786" w:type="dxa"/>
            <w:vMerge w:val="continue"/>
            <w:vAlign w:val="center"/>
          </w:tcPr>
          <w:p>
            <w:pPr>
              <w:snapToGrid w:val="0"/>
              <w:jc w:val="center"/>
              <w:rPr>
                <w:rFonts w:ascii="楷体" w:hAnsi="楷体" w:eastAsia="楷体" w:cs="Arial"/>
                <w:color w:val="000000"/>
                <w:sz w:val="24"/>
              </w:rPr>
            </w:pPr>
          </w:p>
        </w:tc>
        <w:tc>
          <w:tcPr>
            <w:tcW w:w="1416" w:type="dxa"/>
            <w:gridSpan w:val="2"/>
            <w:vMerge w:val="continue"/>
          </w:tcPr>
          <w:p>
            <w:pPr>
              <w:snapToGrid w:val="0"/>
              <w:jc w:val="center"/>
              <w:rPr>
                <w:rFonts w:ascii="楷体" w:hAnsi="楷体" w:eastAsia="楷体" w:cs="Arial"/>
                <w:color w:val="000000"/>
                <w:sz w:val="24"/>
              </w:rPr>
            </w:pPr>
          </w:p>
        </w:tc>
        <w:tc>
          <w:tcPr>
            <w:tcW w:w="709" w:type="dxa"/>
            <w:vMerge w:val="continue"/>
            <w:vAlign w:val="center"/>
          </w:tcPr>
          <w:p>
            <w:pPr>
              <w:snapToGrid w:val="0"/>
              <w:jc w:val="center"/>
              <w:rPr>
                <w:rFonts w:ascii="楷体" w:hAnsi="楷体" w:eastAsia="楷体" w:cs="Arial"/>
                <w:color w:val="000000"/>
                <w:sz w:val="24"/>
              </w:rPr>
            </w:pPr>
          </w:p>
        </w:tc>
        <w:tc>
          <w:tcPr>
            <w:tcW w:w="720" w:type="dxa"/>
            <w:vAlign w:val="center"/>
          </w:tcPr>
          <w:p>
            <w:pPr>
              <w:snapToGrid w:val="0"/>
              <w:jc w:val="center"/>
              <w:rPr>
                <w:rFonts w:ascii="楷体" w:hAnsi="楷体" w:eastAsia="楷体" w:cs="Arial"/>
                <w:color w:val="000000"/>
                <w:sz w:val="24"/>
              </w:rPr>
            </w:pPr>
            <w:r>
              <w:rPr>
                <w:rFonts w:hint="eastAsia" w:ascii="楷体" w:hAnsi="楷体" w:eastAsia="楷体" w:cs="Arial"/>
                <w:color w:val="000000"/>
                <w:sz w:val="24"/>
              </w:rPr>
              <w:t>10</w:t>
            </w:r>
          </w:p>
        </w:tc>
        <w:tc>
          <w:tcPr>
            <w:tcW w:w="6084" w:type="dxa"/>
          </w:tcPr>
          <w:p>
            <w:pPr>
              <w:widowControl/>
              <w:snapToGrid w:val="0"/>
              <w:rPr>
                <w:rFonts w:ascii="楷体" w:hAnsi="楷体" w:eastAsia="楷体" w:cs="宋体"/>
                <w:color w:val="000000"/>
                <w:kern w:val="0"/>
                <w:sz w:val="24"/>
              </w:rPr>
            </w:pPr>
            <w:r>
              <w:rPr>
                <w:rFonts w:hint="eastAsia" w:ascii="楷体" w:hAnsi="楷体" w:eastAsia="楷体" w:cs="宋体"/>
                <w:color w:val="000000"/>
                <w:kern w:val="0"/>
                <w:sz w:val="24"/>
              </w:rPr>
              <w:t>行为举止稳重端庄</w:t>
            </w:r>
            <w:r>
              <w:rPr>
                <w:rFonts w:hint="eastAsia" w:ascii="楷体" w:hAnsi="楷体" w:eastAsia="楷体" w:cs="Arial"/>
                <w:color w:val="000000"/>
                <w:kern w:val="0"/>
                <w:sz w:val="24"/>
              </w:rPr>
              <w:t>大方，有亲和力。</w:t>
            </w:r>
          </w:p>
        </w:tc>
      </w:tr>
    </w:tbl>
    <w:p>
      <w:pPr>
        <w:pStyle w:val="20"/>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rPr>
      </w:pPr>
      <w:r>
        <w:rPr>
          <w:rFonts w:hint="eastAsia"/>
        </w:rPr>
        <w:t>六、职业适应性测试要求</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楷体" w:hAnsi="楷体" w:eastAsia="楷体"/>
          <w:b/>
          <w:sz w:val="24"/>
        </w:rPr>
      </w:pPr>
      <w:r>
        <w:rPr>
          <w:rFonts w:hint="eastAsia" w:ascii="楷体" w:hAnsi="楷体" w:eastAsia="楷体"/>
          <w:b/>
          <w:sz w:val="24"/>
        </w:rPr>
        <w:t>（一）专业兴趣与职业认知</w:t>
      </w:r>
    </w:p>
    <w:p>
      <w:pPr>
        <w:spacing w:line="360" w:lineRule="auto"/>
        <w:ind w:firstLine="540"/>
        <w:rPr>
          <w:rFonts w:ascii="楷体" w:hAnsi="楷体" w:eastAsia="楷体"/>
          <w:sz w:val="24"/>
        </w:rPr>
      </w:pPr>
      <w:r>
        <w:rPr>
          <w:rFonts w:hint="eastAsia" w:ascii="楷体" w:hAnsi="楷体" w:eastAsia="楷体"/>
          <w:sz w:val="24"/>
        </w:rPr>
        <w:t>1. 专业兴趣浓厚。</w:t>
      </w:r>
    </w:p>
    <w:p>
      <w:pPr>
        <w:spacing w:line="360" w:lineRule="auto"/>
        <w:ind w:firstLine="540"/>
        <w:rPr>
          <w:rFonts w:ascii="楷体" w:hAnsi="楷体" w:eastAsia="楷体"/>
          <w:sz w:val="24"/>
        </w:rPr>
      </w:pPr>
      <w:r>
        <w:rPr>
          <w:rFonts w:hint="eastAsia" w:ascii="楷体" w:hAnsi="楷体" w:eastAsia="楷体"/>
          <w:sz w:val="24"/>
        </w:rPr>
        <w:t>2. 对大数据与会计专业有正确的职业认知和价值取向。</w:t>
      </w:r>
    </w:p>
    <w:p>
      <w:pPr>
        <w:spacing w:line="360" w:lineRule="auto"/>
        <w:ind w:firstLine="540"/>
        <w:rPr>
          <w:rFonts w:ascii="楷体" w:hAnsi="楷体" w:eastAsia="楷体"/>
          <w:sz w:val="24"/>
        </w:rPr>
      </w:pPr>
      <w:r>
        <w:rPr>
          <w:rFonts w:hint="eastAsia" w:ascii="楷体" w:hAnsi="楷体" w:eastAsia="楷体"/>
          <w:sz w:val="24"/>
        </w:rPr>
        <w:t>3. 对加入会计行业有较强的愿望和服务意识。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楷体" w:hAnsi="楷体" w:eastAsia="楷体"/>
          <w:b/>
          <w:sz w:val="24"/>
        </w:rPr>
      </w:pPr>
      <w:r>
        <w:rPr>
          <w:rFonts w:hint="eastAsia" w:ascii="楷体" w:hAnsi="楷体" w:eastAsia="楷体"/>
          <w:b/>
          <w:sz w:val="24"/>
        </w:rPr>
        <w:t>（二）身体与心理素质</w:t>
      </w:r>
    </w:p>
    <w:p>
      <w:pPr>
        <w:spacing w:line="360" w:lineRule="auto"/>
        <w:ind w:firstLine="480" w:firstLineChars="200"/>
        <w:rPr>
          <w:rFonts w:ascii="楷体" w:hAnsi="楷体" w:eastAsia="楷体"/>
          <w:sz w:val="24"/>
        </w:rPr>
      </w:pPr>
      <w:r>
        <w:rPr>
          <w:rFonts w:hint="eastAsia" w:ascii="楷体" w:hAnsi="楷体" w:eastAsia="楷体"/>
          <w:sz w:val="24"/>
        </w:rPr>
        <w:t>1. 身体素质符合企业用人的要求。</w:t>
      </w:r>
    </w:p>
    <w:p>
      <w:pPr>
        <w:spacing w:line="360" w:lineRule="auto"/>
        <w:ind w:firstLine="480" w:firstLineChars="200"/>
        <w:rPr>
          <w:rFonts w:ascii="楷体" w:hAnsi="楷体" w:eastAsia="楷体"/>
          <w:sz w:val="24"/>
        </w:rPr>
      </w:pPr>
      <w:r>
        <w:rPr>
          <w:rFonts w:hint="eastAsia" w:ascii="楷体" w:hAnsi="楷体" w:eastAsia="楷体"/>
          <w:sz w:val="24"/>
        </w:rPr>
        <w:t>2. 乐观开朗，积极上进，有自信心。</w:t>
      </w:r>
    </w:p>
    <w:p>
      <w:pPr>
        <w:spacing w:line="360" w:lineRule="auto"/>
        <w:ind w:firstLine="480" w:firstLineChars="200"/>
        <w:rPr>
          <w:rFonts w:ascii="楷体" w:hAnsi="楷体" w:eastAsia="楷体"/>
          <w:sz w:val="24"/>
        </w:rPr>
      </w:pPr>
      <w:r>
        <w:rPr>
          <w:rFonts w:hint="eastAsia" w:ascii="楷体" w:hAnsi="楷体" w:eastAsia="楷体"/>
          <w:sz w:val="24"/>
        </w:rPr>
        <w:t>3. 具有一定的情绪调节和自控能力,不偏激，不固执。</w:t>
      </w:r>
    </w:p>
    <w:p>
      <w:pPr>
        <w:spacing w:line="360" w:lineRule="auto"/>
        <w:ind w:firstLine="480" w:firstLineChars="200"/>
        <w:rPr>
          <w:rFonts w:ascii="楷体" w:hAnsi="楷体" w:eastAsia="楷体"/>
          <w:sz w:val="24"/>
        </w:rPr>
      </w:pPr>
      <w:r>
        <w:rPr>
          <w:rFonts w:hint="eastAsia" w:ascii="楷体" w:hAnsi="楷体" w:eastAsia="楷体"/>
          <w:sz w:val="24"/>
        </w:rPr>
        <w:t>4. 能够冷静地处理问题，具有较强的应变能力。</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楷体" w:hAnsi="楷体" w:eastAsia="楷体"/>
          <w:b/>
          <w:sz w:val="24"/>
        </w:rPr>
      </w:pPr>
      <w:r>
        <w:rPr>
          <w:rFonts w:hint="eastAsia" w:ascii="楷体" w:hAnsi="楷体" w:eastAsia="楷体"/>
          <w:b/>
          <w:sz w:val="24"/>
        </w:rPr>
        <w:t>（三）仪表与仪容</w:t>
      </w:r>
    </w:p>
    <w:p>
      <w:pPr>
        <w:spacing w:line="360" w:lineRule="auto"/>
        <w:ind w:firstLine="480" w:firstLineChars="200"/>
        <w:rPr>
          <w:rFonts w:ascii="楷体" w:hAnsi="楷体" w:eastAsia="楷体"/>
          <w:sz w:val="24"/>
        </w:rPr>
      </w:pPr>
      <w:r>
        <w:rPr>
          <w:rFonts w:hint="eastAsia" w:ascii="楷体" w:hAnsi="楷体" w:eastAsia="楷体"/>
          <w:sz w:val="24"/>
        </w:rPr>
        <w:t>1.</w:t>
      </w:r>
      <w:r>
        <w:rPr>
          <w:rFonts w:hint="eastAsia" w:ascii="楷体" w:hAnsi="楷体" w:eastAsia="楷体" w:cs="宋体"/>
          <w:kern w:val="0"/>
          <w:sz w:val="24"/>
        </w:rPr>
        <w:t>衣着整洁，仪表得体，</w:t>
      </w:r>
      <w:r>
        <w:rPr>
          <w:rFonts w:hint="eastAsia" w:ascii="楷体" w:hAnsi="楷体" w:eastAsia="楷体"/>
          <w:sz w:val="24"/>
        </w:rPr>
        <w:t>符合行业职业特点。</w:t>
      </w:r>
    </w:p>
    <w:p>
      <w:pPr>
        <w:spacing w:line="360" w:lineRule="auto"/>
        <w:ind w:firstLine="480" w:firstLineChars="200"/>
        <w:rPr>
          <w:rFonts w:ascii="楷体" w:hAnsi="楷体" w:eastAsia="楷体" w:cs="宋体"/>
          <w:kern w:val="0"/>
          <w:sz w:val="24"/>
        </w:rPr>
      </w:pPr>
      <w:r>
        <w:rPr>
          <w:rFonts w:hint="eastAsia" w:ascii="楷体" w:hAnsi="楷体" w:eastAsia="楷体"/>
          <w:kern w:val="0"/>
          <w:sz w:val="24"/>
        </w:rPr>
        <w:t>2.五官端正，</w:t>
      </w:r>
      <w:r>
        <w:rPr>
          <w:rFonts w:hint="eastAsia" w:ascii="楷体" w:hAnsi="楷体" w:eastAsia="楷体" w:cs="宋体"/>
          <w:kern w:val="0"/>
          <w:sz w:val="24"/>
        </w:rPr>
        <w:t>姿态自然</w:t>
      </w:r>
      <w:r>
        <w:rPr>
          <w:rFonts w:hint="eastAsia" w:ascii="楷体" w:hAnsi="楷体" w:eastAsia="楷体"/>
          <w:kern w:val="0"/>
          <w:sz w:val="24"/>
        </w:rPr>
        <w:t>，</w:t>
      </w:r>
      <w:r>
        <w:rPr>
          <w:rFonts w:hint="eastAsia" w:ascii="楷体" w:hAnsi="楷体" w:eastAsia="楷体" w:cs="宋体"/>
          <w:kern w:val="0"/>
          <w:sz w:val="24"/>
        </w:rPr>
        <w:t>肢体表达得当。</w:t>
      </w:r>
    </w:p>
    <w:p>
      <w:pPr>
        <w:spacing w:line="360" w:lineRule="auto"/>
        <w:ind w:firstLine="480" w:firstLineChars="200"/>
        <w:rPr>
          <w:rFonts w:ascii="楷体" w:hAnsi="楷体" w:eastAsia="楷体"/>
          <w:kern w:val="0"/>
          <w:sz w:val="24"/>
        </w:rPr>
      </w:pPr>
      <w:r>
        <w:rPr>
          <w:rFonts w:hint="eastAsia" w:ascii="楷体" w:hAnsi="楷体" w:eastAsia="楷体"/>
          <w:sz w:val="24"/>
        </w:rPr>
        <w:t>3.</w:t>
      </w:r>
      <w:r>
        <w:rPr>
          <w:rFonts w:hint="eastAsia" w:ascii="楷体" w:hAnsi="楷体" w:eastAsia="楷体" w:cs="宋体"/>
          <w:kern w:val="0"/>
          <w:sz w:val="24"/>
        </w:rPr>
        <w:t>行为举止稳重端庄</w:t>
      </w:r>
      <w:r>
        <w:rPr>
          <w:rFonts w:hint="eastAsia" w:ascii="楷体" w:hAnsi="楷体" w:eastAsia="楷体"/>
          <w:kern w:val="0"/>
          <w:sz w:val="24"/>
        </w:rPr>
        <w:t>大方，有亲和力。</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楷体" w:hAnsi="楷体" w:eastAsia="楷体"/>
          <w:b/>
          <w:sz w:val="24"/>
        </w:rPr>
      </w:pPr>
      <w:r>
        <w:rPr>
          <w:rFonts w:hint="eastAsia" w:ascii="楷体" w:hAnsi="楷体" w:eastAsia="楷体"/>
          <w:b/>
          <w:sz w:val="24"/>
        </w:rPr>
        <w:t>（四）言语表达能力</w:t>
      </w:r>
    </w:p>
    <w:p>
      <w:pPr>
        <w:spacing w:line="360" w:lineRule="auto"/>
        <w:ind w:firstLine="480" w:firstLineChars="200"/>
        <w:rPr>
          <w:rFonts w:ascii="楷体" w:hAnsi="楷体" w:eastAsia="楷体"/>
          <w:sz w:val="24"/>
        </w:rPr>
      </w:pPr>
      <w:r>
        <w:rPr>
          <w:rFonts w:hint="eastAsia" w:ascii="楷体" w:hAnsi="楷体" w:eastAsia="楷体"/>
          <w:sz w:val="24"/>
        </w:rPr>
        <w:t>1.口齿清楚，语速适宜，表达准确，简洁、流畅。</w:t>
      </w:r>
    </w:p>
    <w:p>
      <w:pPr>
        <w:spacing w:line="360" w:lineRule="auto"/>
        <w:ind w:firstLine="480" w:firstLineChars="200"/>
        <w:rPr>
          <w:rFonts w:ascii="楷体" w:hAnsi="楷体" w:eastAsia="楷体"/>
          <w:sz w:val="24"/>
        </w:rPr>
      </w:pPr>
      <w:r>
        <w:rPr>
          <w:rFonts w:hint="eastAsia" w:ascii="楷体" w:hAnsi="楷体" w:eastAsia="楷体"/>
          <w:sz w:val="24"/>
        </w:rPr>
        <w:t>2.较强的口头表达能力，善于倾听别人的意见，并能够较准确地表达自己的观点。</w:t>
      </w:r>
    </w:p>
    <w:p>
      <w:pPr>
        <w:spacing w:line="360" w:lineRule="auto"/>
        <w:ind w:firstLine="480" w:firstLineChars="200"/>
        <w:rPr>
          <w:rFonts w:ascii="楷体" w:hAnsi="楷体" w:eastAsia="楷体"/>
          <w:sz w:val="24"/>
        </w:rPr>
      </w:pPr>
      <w:r>
        <w:rPr>
          <w:rFonts w:hint="eastAsia" w:ascii="楷体" w:hAnsi="楷体" w:eastAsia="楷体"/>
          <w:sz w:val="24"/>
        </w:rPr>
        <w:t>3.在交流中尊重对方、态度和蔼，并能做出恰当的回应。</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楷体" w:hAnsi="楷体" w:eastAsia="楷体"/>
          <w:b/>
          <w:sz w:val="24"/>
        </w:rPr>
      </w:pPr>
      <w:r>
        <w:rPr>
          <w:rFonts w:hint="eastAsia" w:ascii="楷体" w:hAnsi="楷体" w:eastAsia="楷体"/>
          <w:b/>
          <w:sz w:val="24"/>
        </w:rPr>
        <w:t>（五）思维品质情况</w:t>
      </w:r>
    </w:p>
    <w:p>
      <w:pPr>
        <w:spacing w:line="360" w:lineRule="auto"/>
        <w:ind w:firstLine="480" w:firstLineChars="200"/>
        <w:rPr>
          <w:rFonts w:ascii="楷体" w:hAnsi="楷体" w:eastAsia="楷体"/>
          <w:sz w:val="24"/>
        </w:rPr>
      </w:pPr>
      <w:r>
        <w:rPr>
          <w:rFonts w:hint="eastAsia" w:ascii="楷体" w:hAnsi="楷体" w:eastAsia="楷体"/>
          <w:sz w:val="24"/>
        </w:rPr>
        <w:t>1.思维严密，条理清晰，逻辑性强。</w:t>
      </w:r>
    </w:p>
    <w:p>
      <w:pPr>
        <w:spacing w:line="360" w:lineRule="auto"/>
        <w:ind w:firstLine="480" w:firstLineChars="200"/>
        <w:rPr>
          <w:rFonts w:ascii="楷体" w:hAnsi="楷体" w:eastAsia="楷体"/>
          <w:sz w:val="24"/>
        </w:rPr>
      </w:pPr>
      <w:r>
        <w:rPr>
          <w:rFonts w:hint="eastAsia" w:ascii="楷体" w:hAnsi="楷体" w:eastAsia="楷体"/>
          <w:sz w:val="24"/>
        </w:rPr>
        <w:t>2.能正确地理解和分析问题，抓住要点，并及时做出适当的反应。</w:t>
      </w:r>
    </w:p>
    <w:p>
      <w:pPr>
        <w:spacing w:line="360" w:lineRule="auto"/>
        <w:ind w:firstLine="480" w:firstLineChars="200"/>
        <w:rPr>
          <w:rFonts w:ascii="楷体" w:hAnsi="楷体" w:eastAsia="楷体"/>
          <w:b/>
          <w:bCs/>
          <w:sz w:val="28"/>
          <w:szCs w:val="28"/>
        </w:rPr>
      </w:pPr>
      <w:r>
        <w:rPr>
          <w:rFonts w:hint="eastAsia" w:ascii="楷体" w:hAnsi="楷体" w:eastAsia="楷体"/>
          <w:sz w:val="24"/>
        </w:rPr>
        <w:t>3.</w:t>
      </w:r>
      <w:r>
        <w:rPr>
          <w:rFonts w:hint="eastAsia" w:ascii="楷体" w:hAnsi="楷体" w:eastAsia="楷体"/>
          <w:kern w:val="0"/>
          <w:sz w:val="24"/>
        </w:rPr>
        <w:t>能够比较全面地看待问题，思维灵活，有较好的应变能力和</w:t>
      </w:r>
      <w:r>
        <w:rPr>
          <w:rFonts w:hint="eastAsia" w:ascii="楷体" w:hAnsi="楷体" w:eastAsia="楷体"/>
          <w:sz w:val="24"/>
        </w:rPr>
        <w:t>创新意识。</w:t>
      </w:r>
    </w:p>
    <w:p>
      <w:pPr>
        <w:ind w:firstLine="560" w:firstLineChars="200"/>
        <w:rPr>
          <w:rFonts w:ascii="楷体" w:hAnsi="楷体" w:eastAsia="楷体"/>
          <w:sz w:val="28"/>
          <w:szCs w:val="28"/>
        </w:rPr>
      </w:pPr>
    </w:p>
    <w:p>
      <w:pPr>
        <w:spacing w:line="360" w:lineRule="auto"/>
        <w:jc w:val="center"/>
        <w:rPr>
          <w:rStyle w:val="11"/>
          <w:rFonts w:ascii="楷体" w:hAnsi="楷体" w:eastAsia="楷体"/>
          <w:color w:val="000000"/>
          <w:spacing w:val="8"/>
          <w:sz w:val="44"/>
          <w:szCs w:val="44"/>
        </w:rPr>
      </w:pPr>
    </w:p>
    <w:p>
      <w:pPr>
        <w:rPr>
          <w:rStyle w:val="11"/>
          <w:rFonts w:ascii="楷体" w:hAnsi="楷体" w:eastAsia="楷体"/>
          <w:color w:val="000000"/>
          <w:spacing w:val="8"/>
          <w:sz w:val="44"/>
          <w:szCs w:val="44"/>
        </w:rPr>
      </w:pPr>
      <w:r>
        <w:rPr>
          <w:rStyle w:val="11"/>
          <w:rFonts w:ascii="楷体" w:hAnsi="楷体" w:eastAsia="楷体"/>
          <w:color w:val="000000"/>
          <w:spacing w:val="8"/>
          <w:sz w:val="44"/>
          <w:szCs w:val="44"/>
        </w:rPr>
        <w:br w:type="page"/>
      </w:r>
    </w:p>
    <w:p>
      <w:pPr>
        <w:spacing w:line="360" w:lineRule="auto"/>
        <w:jc w:val="center"/>
        <w:rPr>
          <w:rStyle w:val="11"/>
          <w:rFonts w:ascii="楷体" w:hAnsi="楷体" w:eastAsia="楷体"/>
          <w:color w:val="000000"/>
          <w:spacing w:val="8"/>
          <w:sz w:val="44"/>
          <w:szCs w:val="44"/>
        </w:rPr>
      </w:pPr>
    </w:p>
    <w:p>
      <w:pPr>
        <w:spacing w:line="360" w:lineRule="auto"/>
        <w:jc w:val="center"/>
        <w:rPr>
          <w:rStyle w:val="11"/>
          <w:rFonts w:ascii="楷体" w:hAnsi="楷体" w:eastAsia="楷体"/>
          <w:color w:val="000000"/>
          <w:spacing w:val="8"/>
          <w:sz w:val="44"/>
          <w:szCs w:val="44"/>
        </w:rPr>
      </w:pPr>
      <w:r>
        <w:rPr>
          <w:rStyle w:val="11"/>
          <w:rFonts w:hint="eastAsia" w:ascii="楷体" w:hAnsi="楷体" w:eastAsia="楷体"/>
          <w:color w:val="000000"/>
          <w:spacing w:val="8"/>
          <w:sz w:val="44"/>
          <w:szCs w:val="44"/>
        </w:rPr>
        <w:t>大数据与会计专业职业技能大纲</w:t>
      </w:r>
    </w:p>
    <w:p>
      <w:pPr>
        <w:spacing w:line="360" w:lineRule="auto"/>
        <w:jc w:val="center"/>
        <w:rPr>
          <w:rFonts w:ascii="楷体" w:hAnsi="楷体" w:eastAsia="楷体"/>
          <w:bCs/>
          <w:color w:val="000000"/>
          <w:kern w:val="36"/>
          <w:sz w:val="28"/>
          <w:szCs w:val="28"/>
        </w:rPr>
      </w:pPr>
      <w:r>
        <w:rPr>
          <w:rFonts w:hint="eastAsia" w:ascii="楷体" w:hAnsi="楷体" w:eastAsia="楷体"/>
          <w:bCs/>
          <w:color w:val="000000"/>
          <w:kern w:val="36"/>
          <w:sz w:val="28"/>
          <w:szCs w:val="28"/>
        </w:rPr>
        <w:t>（</w:t>
      </w:r>
      <w:r>
        <w:rPr>
          <w:rFonts w:hint="eastAsia" w:ascii="楷体" w:hAnsi="楷体" w:eastAsia="楷体"/>
          <w:bCs/>
          <w:color w:val="000000"/>
          <w:kern w:val="36"/>
          <w:sz w:val="24"/>
        </w:rPr>
        <w:t>面向中职考生</w:t>
      </w:r>
      <w:r>
        <w:rPr>
          <w:rFonts w:hint="eastAsia" w:ascii="楷体" w:hAnsi="楷体" w:eastAsia="楷体"/>
          <w:bCs/>
          <w:color w:val="000000"/>
          <w:kern w:val="36"/>
          <w:sz w:val="28"/>
          <w:szCs w:val="28"/>
        </w:rPr>
        <w:t>）</w:t>
      </w:r>
    </w:p>
    <w:p>
      <w:pPr>
        <w:spacing w:line="360" w:lineRule="auto"/>
        <w:rPr>
          <w:rFonts w:ascii="楷体" w:hAnsi="楷体" w:eastAsia="楷体"/>
          <w:b/>
          <w:sz w:val="24"/>
        </w:rPr>
      </w:pP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ascii="楷体" w:hAnsi="楷体" w:eastAsia="楷体"/>
          <w:b/>
          <w:sz w:val="28"/>
          <w:szCs w:val="28"/>
        </w:rPr>
      </w:pPr>
      <w:r>
        <w:rPr>
          <w:rFonts w:hint="eastAsia" w:ascii="楷体" w:hAnsi="楷体" w:eastAsia="楷体"/>
          <w:b/>
          <w:sz w:val="28"/>
          <w:szCs w:val="28"/>
        </w:rPr>
        <w:t>一、指导思想</w:t>
      </w:r>
    </w:p>
    <w:p>
      <w:pPr>
        <w:spacing w:line="360" w:lineRule="auto"/>
        <w:ind w:firstLine="480"/>
        <w:rPr>
          <w:rFonts w:ascii="楷体" w:hAnsi="楷体" w:eastAsia="楷体"/>
          <w:color w:val="FF0000"/>
          <w:kern w:val="0"/>
          <w:sz w:val="24"/>
        </w:rPr>
      </w:pPr>
      <w:r>
        <w:rPr>
          <w:rFonts w:hint="eastAsia" w:ascii="楷体" w:hAnsi="楷体" w:eastAsia="楷体"/>
          <w:bCs/>
          <w:sz w:val="24"/>
        </w:rPr>
        <w:t>根据教育部中等职业学校财经类专业教学指导方案，以中华人民共和国财政部颁发的企业会计准则为规范，通过职业技能测试，重点考察学生对会计基本知识和会计书写技能的掌握情况。</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楷体" w:hAnsi="楷体" w:eastAsia="楷体"/>
          <w:b/>
          <w:sz w:val="28"/>
          <w:szCs w:val="28"/>
        </w:rPr>
      </w:pPr>
      <w:r>
        <w:rPr>
          <w:rFonts w:hint="eastAsia" w:ascii="楷体" w:hAnsi="楷体" w:eastAsia="楷体"/>
          <w:b/>
          <w:sz w:val="28"/>
          <w:szCs w:val="28"/>
        </w:rPr>
        <w:t>二、考试形式与时间</w:t>
      </w:r>
    </w:p>
    <w:p>
      <w:pPr>
        <w:spacing w:line="360" w:lineRule="auto"/>
        <w:rPr>
          <w:rFonts w:ascii="楷体" w:hAnsi="楷体" w:eastAsia="楷体"/>
          <w:bCs/>
          <w:sz w:val="24"/>
          <w:highlight w:val="yellow"/>
        </w:rPr>
      </w:pPr>
      <w:r>
        <w:rPr>
          <w:rFonts w:hint="eastAsia" w:ascii="楷体" w:hAnsi="楷体" w:eastAsia="楷体"/>
          <w:bCs/>
          <w:sz w:val="24"/>
        </w:rPr>
        <w:t xml:space="preserve">   1. 考试形式：</w:t>
      </w:r>
      <w:r>
        <w:rPr>
          <w:rFonts w:hint="eastAsia" w:ascii="楷体" w:hAnsi="楷体" w:eastAsia="楷体"/>
          <w:sz w:val="24"/>
          <w:highlight w:val="none"/>
        </w:rPr>
        <w:t>面试和技能展示</w:t>
      </w:r>
    </w:p>
    <w:p>
      <w:pPr>
        <w:spacing w:line="360" w:lineRule="auto"/>
        <w:rPr>
          <w:rFonts w:ascii="楷体" w:hAnsi="楷体" w:eastAsia="楷体"/>
          <w:bCs/>
          <w:sz w:val="24"/>
        </w:rPr>
      </w:pPr>
      <w:r>
        <w:rPr>
          <w:rFonts w:hint="eastAsia" w:ascii="楷体" w:hAnsi="楷体" w:eastAsia="楷体"/>
          <w:bCs/>
          <w:sz w:val="24"/>
        </w:rPr>
        <w:t xml:space="preserve">   2. 考试时间：每名考生10分钟</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楷体" w:hAnsi="楷体" w:eastAsia="楷体"/>
          <w:b/>
          <w:sz w:val="28"/>
          <w:szCs w:val="28"/>
        </w:rPr>
      </w:pPr>
      <w:r>
        <w:rPr>
          <w:rFonts w:hint="eastAsia" w:ascii="楷体" w:hAnsi="楷体" w:eastAsia="楷体"/>
          <w:b/>
          <w:sz w:val="28"/>
          <w:szCs w:val="28"/>
        </w:rPr>
        <w:t>三、考试题型和分值</w:t>
      </w:r>
    </w:p>
    <w:p>
      <w:pPr>
        <w:spacing w:line="360" w:lineRule="auto"/>
        <w:ind w:firstLine="720" w:firstLineChars="300"/>
        <w:rPr>
          <w:rFonts w:ascii="楷体" w:hAnsi="楷体" w:eastAsia="楷体"/>
          <w:sz w:val="24"/>
        </w:rPr>
      </w:pPr>
      <w:r>
        <w:rPr>
          <w:rFonts w:hint="eastAsia" w:ascii="楷体" w:hAnsi="楷体" w:eastAsia="楷体"/>
          <w:sz w:val="24"/>
        </w:rPr>
        <w:t>职业技能测试</w:t>
      </w:r>
      <w:r>
        <w:rPr>
          <w:rFonts w:hint="eastAsia" w:ascii="楷体" w:hAnsi="楷体" w:eastAsia="楷体"/>
          <w:sz w:val="24"/>
          <w:lang w:val="en-US" w:eastAsia="zh-CN"/>
        </w:rPr>
        <w:t>包括</w:t>
      </w:r>
      <w:r>
        <w:rPr>
          <w:rFonts w:hint="eastAsia" w:ascii="楷体" w:hAnsi="楷体" w:eastAsia="楷体"/>
          <w:sz w:val="24"/>
        </w:rPr>
        <w:t>会计基础知识和会计书写技能两部分，总分值为260分，各项分值分配如下：</w:t>
      </w:r>
    </w:p>
    <w:p>
      <w:pPr>
        <w:spacing w:line="360" w:lineRule="auto"/>
        <w:rPr>
          <w:rFonts w:hint="eastAsia" w:ascii="楷体" w:hAnsi="楷体" w:eastAsia="楷体"/>
          <w:sz w:val="24"/>
        </w:rPr>
      </w:pPr>
      <w:r>
        <w:rPr>
          <w:rFonts w:hint="eastAsia" w:ascii="楷体" w:hAnsi="楷体" w:eastAsia="楷体"/>
          <w:sz w:val="24"/>
        </w:rPr>
        <w:t xml:space="preserve">    1.会计基础知识 满分130分</w:t>
      </w:r>
    </w:p>
    <w:p>
      <w:pPr>
        <w:spacing w:line="360" w:lineRule="auto"/>
        <w:rPr>
          <w:rFonts w:ascii="楷体" w:hAnsi="楷体" w:eastAsia="楷体"/>
          <w:bCs/>
          <w:sz w:val="24"/>
        </w:rPr>
      </w:pPr>
      <w:r>
        <w:rPr>
          <w:rFonts w:hint="eastAsia" w:ascii="楷体" w:hAnsi="楷体" w:eastAsia="楷体"/>
          <w:bCs/>
          <w:sz w:val="24"/>
        </w:rPr>
        <w:t xml:space="preserve">    2.会计书写技能 满分130分</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楷体" w:hAnsi="楷体" w:eastAsia="楷体"/>
          <w:b/>
          <w:sz w:val="28"/>
          <w:szCs w:val="28"/>
        </w:rPr>
      </w:pPr>
      <w:r>
        <w:rPr>
          <w:rFonts w:hint="eastAsia" w:ascii="楷体" w:hAnsi="楷体" w:eastAsia="楷体"/>
          <w:b/>
          <w:sz w:val="28"/>
          <w:szCs w:val="28"/>
        </w:rPr>
        <w:t>四、考试内容和要求</w:t>
      </w:r>
    </w:p>
    <w:p>
      <w:pPr>
        <w:spacing w:line="360" w:lineRule="auto"/>
        <w:rPr>
          <w:rFonts w:hint="eastAsia" w:ascii="楷体" w:hAnsi="楷体" w:eastAsia="楷体"/>
          <w:sz w:val="24"/>
        </w:rPr>
      </w:pPr>
      <w:r>
        <w:rPr>
          <w:rFonts w:hint="eastAsia" w:ascii="楷体" w:hAnsi="楷体" w:eastAsia="楷体"/>
          <w:b/>
          <w:sz w:val="24"/>
        </w:rPr>
        <w:t xml:space="preserve">   </w:t>
      </w:r>
      <w:r>
        <w:rPr>
          <w:rFonts w:hint="eastAsia" w:ascii="楷体" w:hAnsi="楷体" w:eastAsia="楷体"/>
          <w:sz w:val="24"/>
        </w:rPr>
        <w:t xml:space="preserve"> 1、会计基础知识测试（1个，时间5分钟）</w:t>
      </w:r>
      <w:r>
        <w:rPr>
          <w:rFonts w:hint="eastAsia" w:ascii="楷体" w:hAnsi="楷体" w:eastAsia="楷体"/>
          <w:sz w:val="24"/>
          <w:lang w:eastAsia="zh-CN"/>
        </w:rPr>
        <w:t>：</w:t>
      </w:r>
      <w:r>
        <w:rPr>
          <w:rFonts w:hint="eastAsia" w:ascii="楷体" w:hAnsi="楷体" w:eastAsia="楷体"/>
          <w:sz w:val="24"/>
        </w:rPr>
        <w:t>从现场已经准备的10道题目中随机抽取1题，现场思考后立即作答。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sz w:val="24"/>
        </w:rPr>
      </w:pPr>
      <w:r>
        <w:rPr>
          <w:rFonts w:hint="eastAsia" w:ascii="楷体" w:hAnsi="楷体" w:eastAsia="楷体"/>
          <w:sz w:val="24"/>
          <w:lang w:val="en-US" w:eastAsia="zh-CN"/>
        </w:rPr>
        <w:t>要求</w:t>
      </w:r>
      <w:r>
        <w:rPr>
          <w:rFonts w:hint="eastAsia" w:ascii="楷体" w:hAnsi="楷体" w:eastAsia="楷体"/>
          <w:sz w:val="24"/>
        </w:rPr>
        <w:t xml:space="preserve">：对会计的职能、借贷记账法、会计的工作流程等基本概念有清晰的认识。 </w:t>
      </w:r>
    </w:p>
    <w:p>
      <w:pPr>
        <w:spacing w:line="360" w:lineRule="auto"/>
        <w:rPr>
          <w:rFonts w:ascii="楷体" w:hAnsi="楷体" w:eastAsia="楷体"/>
          <w:sz w:val="24"/>
        </w:rPr>
      </w:pPr>
      <w:r>
        <w:rPr>
          <w:rFonts w:hint="eastAsia" w:ascii="楷体" w:hAnsi="楷体" w:eastAsia="楷体"/>
          <w:sz w:val="24"/>
        </w:rPr>
        <w:t xml:space="preserve">    2、会计书写技能（1个，时间5分钟）</w:t>
      </w:r>
      <w:r>
        <w:rPr>
          <w:rFonts w:hint="eastAsia" w:ascii="楷体" w:hAnsi="楷体" w:eastAsia="楷体"/>
          <w:sz w:val="24"/>
          <w:lang w:eastAsia="zh-CN"/>
        </w:rPr>
        <w:t>：</w:t>
      </w:r>
      <w:r>
        <w:rPr>
          <w:rFonts w:hint="eastAsia" w:ascii="楷体" w:hAnsi="楷体" w:eastAsia="楷体"/>
          <w:sz w:val="24"/>
        </w:rPr>
        <w:t>从现场已经准备的10道题目中随机抽取1题，按要求现场进行技能</w:t>
      </w:r>
      <w:r>
        <w:rPr>
          <w:rFonts w:hint="eastAsia" w:ascii="楷体" w:hAnsi="楷体" w:eastAsia="楷体"/>
          <w:sz w:val="24"/>
          <w:lang w:val="en-US" w:eastAsia="zh-CN"/>
        </w:rPr>
        <w:t>展示</w:t>
      </w:r>
      <w:r>
        <w:rPr>
          <w:rFonts w:hint="eastAsia" w:ascii="楷体" w:hAnsi="楷体" w:eastAsia="楷体"/>
          <w:sz w:val="24"/>
          <w:lang w:eastAsia="zh-CN"/>
        </w:rPr>
        <w:t>，</w:t>
      </w:r>
      <w:r>
        <w:rPr>
          <w:rFonts w:hint="eastAsia" w:ascii="楷体" w:hAnsi="楷体" w:eastAsia="楷体"/>
          <w:sz w:val="24"/>
          <w:lang w:val="en-US" w:eastAsia="zh-CN"/>
        </w:rPr>
        <w:t>操作范围为</w:t>
      </w:r>
      <w:r>
        <w:rPr>
          <w:rFonts w:hint="eastAsia" w:ascii="楷体" w:hAnsi="楷体" w:eastAsia="楷体"/>
          <w:sz w:val="24"/>
        </w:rPr>
        <w:t>对千位数的金额进行数字书写。</w:t>
      </w:r>
    </w:p>
    <w:p>
      <w:pPr>
        <w:spacing w:line="360" w:lineRule="auto"/>
        <w:ind w:firstLine="480" w:firstLineChars="200"/>
        <w:rPr>
          <w:rFonts w:ascii="楷体" w:hAnsi="楷体" w:eastAsia="楷体"/>
          <w:sz w:val="24"/>
        </w:rPr>
      </w:pPr>
      <w:r>
        <w:rPr>
          <w:rFonts w:hint="eastAsia" w:ascii="楷体" w:hAnsi="楷体" w:eastAsia="楷体"/>
          <w:sz w:val="24"/>
        </w:rPr>
        <w:t>要求：阿拉伯数字书写规范</w:t>
      </w:r>
      <w:r>
        <w:rPr>
          <w:rFonts w:hint="eastAsia" w:ascii="楷体" w:hAnsi="楷体" w:eastAsia="楷体"/>
          <w:sz w:val="24"/>
          <w:lang w:eastAsia="zh-CN"/>
        </w:rPr>
        <w:t>；</w:t>
      </w:r>
      <w:r>
        <w:rPr>
          <w:rFonts w:hint="eastAsia" w:ascii="楷体" w:hAnsi="楷体" w:eastAsia="楷体"/>
          <w:sz w:val="24"/>
        </w:rPr>
        <w:t>中文大写</w:t>
      </w:r>
      <w:r>
        <w:rPr>
          <w:rFonts w:hint="eastAsia" w:ascii="楷体" w:hAnsi="楷体" w:eastAsia="楷体"/>
          <w:sz w:val="24"/>
          <w:lang w:eastAsia="zh-CN"/>
        </w:rPr>
        <w:t>数字书写规范；大小写</w:t>
      </w:r>
      <w:r>
        <w:rPr>
          <w:rFonts w:hint="eastAsia" w:ascii="楷体" w:hAnsi="楷体" w:eastAsia="楷体"/>
          <w:sz w:val="24"/>
        </w:rPr>
        <w:t>金额</w:t>
      </w:r>
      <w:r>
        <w:rPr>
          <w:rFonts w:hint="eastAsia" w:ascii="楷体" w:hAnsi="楷体" w:eastAsia="楷体"/>
          <w:sz w:val="24"/>
          <w:lang w:eastAsia="zh-CN"/>
        </w:rPr>
        <w:t>书写对照。</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楷体" w:hAnsi="楷体" w:eastAsia="楷体"/>
          <w:b/>
          <w:sz w:val="28"/>
          <w:szCs w:val="28"/>
        </w:rPr>
      </w:pPr>
      <w:r>
        <w:rPr>
          <w:rFonts w:hint="eastAsia" w:ascii="楷体" w:hAnsi="楷体" w:eastAsia="楷体"/>
          <w:b/>
          <w:sz w:val="28"/>
          <w:szCs w:val="28"/>
        </w:rPr>
        <w:t>五、参考书目</w:t>
      </w:r>
    </w:p>
    <w:p>
      <w:pPr>
        <w:spacing w:line="360" w:lineRule="auto"/>
        <w:rPr>
          <w:rFonts w:ascii="楷体" w:hAnsi="楷体" w:eastAsia="楷体"/>
          <w:sz w:val="24"/>
        </w:rPr>
      </w:pPr>
      <w:r>
        <w:rPr>
          <w:rFonts w:hint="eastAsia" w:ascii="楷体" w:hAnsi="楷体" w:eastAsia="楷体"/>
          <w:sz w:val="24"/>
        </w:rPr>
        <w:t xml:space="preserve">    1. 高丽萍 梅研.《会计基础》.北京：高等教育出版社，2022.07</w:t>
      </w:r>
    </w:p>
    <w:p>
      <w:pPr>
        <w:spacing w:line="360" w:lineRule="auto"/>
        <w:rPr>
          <w:rFonts w:ascii="楷体" w:hAnsi="楷体" w:eastAsia="楷体"/>
          <w:sz w:val="24"/>
        </w:rPr>
      </w:pPr>
      <w:r>
        <w:rPr>
          <w:rFonts w:hint="eastAsia" w:ascii="楷体" w:hAnsi="楷体" w:eastAsia="楷体"/>
          <w:sz w:val="24"/>
        </w:rPr>
        <w:t xml:space="preserve">    2. 李章红.《会计基础操作技能实训》.北京：高等教育出版社，2020.10</w:t>
      </w:r>
    </w:p>
    <w:p>
      <w:pPr>
        <w:ind w:firstLine="560" w:firstLineChars="200"/>
        <w:rPr>
          <w:rFonts w:ascii="楷体" w:hAnsi="楷体" w:eastAsia="楷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449FCF"/>
    <w:multiLevelType w:val="singleLevel"/>
    <w:tmpl w:val="19449FCF"/>
    <w:lvl w:ilvl="0" w:tentative="0">
      <w:start w:val="1"/>
      <w:numFmt w:val="decimal"/>
      <w:lvlText w:val="%1."/>
      <w:lvlJc w:val="left"/>
      <w:pPr>
        <w:ind w:left="420" w:leftChars="0" w:hanging="42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iMDljYjg3ZWYyN2VkMWIxYTJmNzM2YTkxNzFiYzgifQ=="/>
  </w:docVars>
  <w:rsids>
    <w:rsidRoot w:val="005E514F"/>
    <w:rsid w:val="000B1415"/>
    <w:rsid w:val="00116DEF"/>
    <w:rsid w:val="0013511B"/>
    <w:rsid w:val="0027343E"/>
    <w:rsid w:val="002934F0"/>
    <w:rsid w:val="002D3409"/>
    <w:rsid w:val="002D6DAA"/>
    <w:rsid w:val="003722EA"/>
    <w:rsid w:val="0044076B"/>
    <w:rsid w:val="004938B5"/>
    <w:rsid w:val="004F27A4"/>
    <w:rsid w:val="005E514F"/>
    <w:rsid w:val="007332E9"/>
    <w:rsid w:val="00845886"/>
    <w:rsid w:val="00850371"/>
    <w:rsid w:val="00875BA2"/>
    <w:rsid w:val="008876E5"/>
    <w:rsid w:val="008B4006"/>
    <w:rsid w:val="008C7683"/>
    <w:rsid w:val="009D2918"/>
    <w:rsid w:val="00A30904"/>
    <w:rsid w:val="00AE4C4A"/>
    <w:rsid w:val="00AF15D9"/>
    <w:rsid w:val="00B30F40"/>
    <w:rsid w:val="00BA3276"/>
    <w:rsid w:val="00BA6FB4"/>
    <w:rsid w:val="00C8211A"/>
    <w:rsid w:val="00CD2839"/>
    <w:rsid w:val="00D91772"/>
    <w:rsid w:val="00E36D0C"/>
    <w:rsid w:val="00E94C26"/>
    <w:rsid w:val="00ED16C6"/>
    <w:rsid w:val="00F35665"/>
    <w:rsid w:val="00F73918"/>
    <w:rsid w:val="00FB3358"/>
    <w:rsid w:val="00FF0881"/>
    <w:rsid w:val="033B50CF"/>
    <w:rsid w:val="07040319"/>
    <w:rsid w:val="073652C4"/>
    <w:rsid w:val="075A7654"/>
    <w:rsid w:val="10694F01"/>
    <w:rsid w:val="14324F9E"/>
    <w:rsid w:val="181C60DE"/>
    <w:rsid w:val="1C533E1B"/>
    <w:rsid w:val="2772455F"/>
    <w:rsid w:val="2A047B3E"/>
    <w:rsid w:val="2BA07916"/>
    <w:rsid w:val="2CA06CA8"/>
    <w:rsid w:val="2EEA2972"/>
    <w:rsid w:val="321C0FC8"/>
    <w:rsid w:val="336A1E89"/>
    <w:rsid w:val="36DF3716"/>
    <w:rsid w:val="3A1872AB"/>
    <w:rsid w:val="3D876493"/>
    <w:rsid w:val="45A370A4"/>
    <w:rsid w:val="4C333027"/>
    <w:rsid w:val="5B186D09"/>
    <w:rsid w:val="5B1B371D"/>
    <w:rsid w:val="5D194CDC"/>
    <w:rsid w:val="5DE73D28"/>
    <w:rsid w:val="5F6833A5"/>
    <w:rsid w:val="5F9F5213"/>
    <w:rsid w:val="5FD96977"/>
    <w:rsid w:val="65073C35"/>
    <w:rsid w:val="7B4F1534"/>
    <w:rsid w:val="7D2B3C04"/>
    <w:rsid w:val="7D487D3D"/>
    <w:rsid w:val="7ECF1377"/>
    <w:rsid w:val="7EE1161C"/>
    <w:rsid w:val="7F5A2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6"/>
    <w:autoRedefine/>
    <w:qFormat/>
    <w:uiPriority w:val="0"/>
    <w:pPr>
      <w:jc w:val="left"/>
    </w:pPr>
  </w:style>
  <w:style w:type="paragraph" w:styleId="4">
    <w:name w:val="Date"/>
    <w:basedOn w:val="1"/>
    <w:next w:val="1"/>
    <w:autoRedefine/>
    <w:qFormat/>
    <w:uiPriority w:val="0"/>
    <w:pPr>
      <w:ind w:left="100" w:leftChars="2500"/>
    </w:pPr>
  </w:style>
  <w:style w:type="paragraph" w:styleId="5">
    <w:name w:val="Balloon Text"/>
    <w:basedOn w:val="1"/>
    <w:link w:val="18"/>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szCs w:val="18"/>
    </w:rPr>
  </w:style>
  <w:style w:type="paragraph" w:styleId="7">
    <w:name w:val="header"/>
    <w:basedOn w:val="1"/>
    <w:link w:val="15"/>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7"/>
    <w:autoRedefine/>
    <w:qFormat/>
    <w:uiPriority w:val="0"/>
    <w:rPr>
      <w:b/>
      <w:bCs/>
    </w:rPr>
  </w:style>
  <w:style w:type="character" w:styleId="11">
    <w:name w:val="Strong"/>
    <w:autoRedefine/>
    <w:qFormat/>
    <w:uiPriority w:val="0"/>
    <w:rPr>
      <w:b/>
      <w:bCs/>
    </w:rPr>
  </w:style>
  <w:style w:type="character" w:styleId="12">
    <w:name w:val="Hyperlink"/>
    <w:autoRedefine/>
    <w:qFormat/>
    <w:uiPriority w:val="0"/>
    <w:rPr>
      <w:color w:val="0000FF"/>
      <w:u w:val="single"/>
    </w:rPr>
  </w:style>
  <w:style w:type="character" w:styleId="13">
    <w:name w:val="annotation reference"/>
    <w:basedOn w:val="10"/>
    <w:autoRedefine/>
    <w:qFormat/>
    <w:uiPriority w:val="0"/>
    <w:rPr>
      <w:sz w:val="21"/>
      <w:szCs w:val="21"/>
    </w:rPr>
  </w:style>
  <w:style w:type="character" w:customStyle="1" w:styleId="14">
    <w:name w:val="页脚 Char"/>
    <w:link w:val="6"/>
    <w:autoRedefine/>
    <w:qFormat/>
    <w:uiPriority w:val="0"/>
    <w:rPr>
      <w:kern w:val="2"/>
      <w:sz w:val="18"/>
      <w:szCs w:val="18"/>
    </w:rPr>
  </w:style>
  <w:style w:type="character" w:customStyle="1" w:styleId="15">
    <w:name w:val="页眉 Char"/>
    <w:link w:val="7"/>
    <w:autoRedefine/>
    <w:qFormat/>
    <w:uiPriority w:val="0"/>
    <w:rPr>
      <w:kern w:val="2"/>
      <w:sz w:val="18"/>
      <w:szCs w:val="18"/>
    </w:rPr>
  </w:style>
  <w:style w:type="character" w:customStyle="1" w:styleId="16">
    <w:name w:val="批注文字 Char"/>
    <w:basedOn w:val="10"/>
    <w:link w:val="3"/>
    <w:autoRedefine/>
    <w:qFormat/>
    <w:uiPriority w:val="0"/>
    <w:rPr>
      <w:kern w:val="2"/>
      <w:sz w:val="21"/>
      <w:szCs w:val="24"/>
    </w:rPr>
  </w:style>
  <w:style w:type="character" w:customStyle="1" w:styleId="17">
    <w:name w:val="批注主题 Char"/>
    <w:basedOn w:val="16"/>
    <w:link w:val="8"/>
    <w:autoRedefine/>
    <w:qFormat/>
    <w:uiPriority w:val="0"/>
    <w:rPr>
      <w:b/>
      <w:bCs/>
    </w:rPr>
  </w:style>
  <w:style w:type="character" w:customStyle="1" w:styleId="18">
    <w:name w:val="批注框文本 Char"/>
    <w:basedOn w:val="10"/>
    <w:link w:val="5"/>
    <w:autoRedefine/>
    <w:qFormat/>
    <w:uiPriority w:val="0"/>
    <w:rPr>
      <w:kern w:val="2"/>
      <w:sz w:val="18"/>
      <w:szCs w:val="18"/>
    </w:rPr>
  </w:style>
  <w:style w:type="paragraph" w:customStyle="1" w:styleId="19">
    <w:name w:val="标题333"/>
    <w:basedOn w:val="1"/>
    <w:autoRedefine/>
    <w:qFormat/>
    <w:uiPriority w:val="0"/>
    <w:pPr>
      <w:spacing w:line="360" w:lineRule="auto"/>
      <w:jc w:val="left"/>
    </w:pPr>
    <w:rPr>
      <w:rFonts w:hint="eastAsia" w:ascii="楷体" w:hAnsi="楷体" w:eastAsia="楷体"/>
      <w:b/>
      <w:bCs/>
      <w:sz w:val="28"/>
      <w:szCs w:val="28"/>
    </w:rPr>
  </w:style>
  <w:style w:type="paragraph" w:customStyle="1" w:styleId="20">
    <w:name w:val="样式1"/>
    <w:basedOn w:val="1"/>
    <w:autoRedefine/>
    <w:qFormat/>
    <w:uiPriority w:val="0"/>
    <w:pPr>
      <w:spacing w:line="360" w:lineRule="auto"/>
      <w:ind w:firstLine="0" w:firstLineChars="0"/>
    </w:pPr>
    <w:rPr>
      <w:rFonts w:hint="eastAsia" w:ascii="楷体" w:hAnsi="楷体" w:eastAsia="楷体" w:cs="Times New Roman"/>
      <w:b/>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MXWL</Company>
  <Pages>5</Pages>
  <Words>408</Words>
  <Characters>2328</Characters>
  <Lines>19</Lines>
  <Paragraphs>5</Paragraphs>
  <TotalTime>12</TotalTime>
  <ScaleCrop>false</ScaleCrop>
  <LinksUpToDate>false</LinksUpToDate>
  <CharactersWithSpaces>2731</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2016-03-28T07:47:00Z</dcterms:created>
  <dc:creator>侯铁兵</dc:creator>
  <cp:lastModifiedBy>淡然</cp:lastModifiedBy>
  <cp:lastPrinted>2016-03-24T03:49:00Z</cp:lastPrinted>
  <dcterms:modified xsi:type="dcterms:W3CDTF">2024-03-30T07:29:47Z</dcterms:modified>
  <dc:title>关于做好2016年单招考试面试和技能考试安排的</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4819A602FC8A4BCEA083F10427B77A80_13</vt:lpwstr>
  </property>
</Properties>
</file>