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河南经贸职业学院2024年单独招生考试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《专业技能测试》考试大纲及样题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eastAsia="zh-CN"/>
        </w:rPr>
        <w:t>适用专业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28"/>
          <w:szCs w:val="28"/>
          <w:lang w:eastAsia="zh-CN"/>
        </w:rPr>
        <w:t>云计算应用、大数据技术（中外合作办学）、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ind w:firstLine="2520" w:firstLineChars="9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28"/>
          <w:szCs w:val="28"/>
          <w:lang w:eastAsia="zh-CN"/>
        </w:rPr>
        <w:t>动漫制作技术（软件学院）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360" w:lineRule="auto"/>
        <w:ind w:firstLine="60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一、考试目标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根据河南省中等职业学校毕业生对口升学考试方案及考纲的要求，制订本次考试大纲。考试目标是了解学生在专业基础知识、专业操作基本技能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素养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等各方面所具备专业综合技能水平和专业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素养。重点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考察学生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Visual Basic 6.0程序设计（以下简称VB）、计算机组装与维护、Access数据库技术、计算机网络技术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eastAsia="zh-CN"/>
        </w:rPr>
        <w:t>等计算机基本应用领域的理论知识和操作规范掌握程度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、考试内容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default" w:ascii="仿宋_GB2312" w:hAnsi="仿宋_GB2312" w:eastAsia="仿宋_GB2312" w:cs="仿宋_GB2312"/>
          <w:b/>
          <w:bCs/>
          <w:color w:val="FF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1.计算机组装与维护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eastAsia="zh-CN"/>
        </w:rPr>
        <w:t>计算机工作原理（CPU、内存、主板、硬盘等核心部件的功能和工作原理）、硬件组成与选购（各种计算机硬件的组成部分，根据需求选择合适的硬件组件）、计算机组装（计算机硬件的组装流程，包括安装CPU、内存、硬盘等部件，以及连接电源和数据线）、系统设置与调试（进行操作系统的安装、配置和优化，以及系统的调试方法）、软件安装（常见软件的安装过程，包括驱动程序和应用程序的安装与卸载）、日常维护方法（系统清理、硬件检测和性能监控）、故障检测与排除（计算机系统常见故障的检测方法和排除技巧）、数据安全维护（数据备份和恢复的方法，以及病毒防护和网络安全的基本知识）、局域网设置（构建和维护、网络设备的配置和使用）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default" w:ascii="仿宋_GB2312" w:hAnsi="仿宋_GB2312" w:eastAsia="仿宋_GB2312" w:cs="仿宋_GB2312"/>
          <w:b/>
          <w:bCs/>
          <w:color w:val="FF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Visual Basic 6.0程序设计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00" w:firstLineChars="200"/>
        <w:jc w:val="left"/>
        <w:rPr>
          <w:rFonts w:hint="default" w:ascii="Times New Roman" w:hAnsi="Times New Roman" w:eastAsia="仿宋_GB2312" w:cs="仿宋_GB2312"/>
          <w:kern w:val="2"/>
          <w:sz w:val="30"/>
          <w:szCs w:val="30"/>
          <w:shd w:val="clear" w:fill="FFFFFF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VB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的基本概念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VB语言编程基础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数据类型、常量与变量、运算符与表达式、基本语句、程序控制结构、数组、过程与函数和错误处理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）、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应用程序窗体设计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窗体的属性、方法、事件、对话框和设计多文档界面应用程序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）、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标准控件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属性、事件、方法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）、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图像控件和图像框控件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属性、方法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）、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菜单和工具栏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设计方法、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文件的管理与访问。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default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Access数据库技术</w:t>
      </w:r>
    </w:p>
    <w:p>
      <w:pPr>
        <w:pStyle w:val="5"/>
        <w:widowControl/>
        <w:shd w:val="clear" w:fill="FFFFFF"/>
        <w:spacing w:before="0" w:beforeAutospacing="0" w:after="0" w:afterAutospacing="0" w:line="360" w:lineRule="auto"/>
        <w:ind w:left="0" w:right="0" w:firstLine="600" w:firstLineChars="200"/>
        <w:jc w:val="left"/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数据库的基本知识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Access2003的启动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和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退出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Access2003数据库基本对象的功能和作用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数据库及表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概念、创建、编辑和修改方法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）、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表间关系的创建和使用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查询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概念、类型、创建和使用方法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）、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SQL语言的概念及应用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SELECT语句的基本格式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窗体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概念、创建和使用方法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）、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报表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概念、组成、创建和使用方法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shd w:val="clear" w:fill="FFFFFF"/>
          <w:lang w:val="en-US" w:eastAsia="zh-CN" w:bidi="ar"/>
        </w:rPr>
        <w:t>）。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计算机网络技术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default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网络通信的基本概念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两台计算机的互连与通信的操作技术、计算机网络属性设置方法、</w:t>
      </w: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OSI七层参考模型、TCP/IP四层参考模型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IP编址技术及子网划分的方法</w:t>
      </w: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IP地址</w:t>
      </w: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分类及相关计算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交换机及路由器的相关知识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基本配置方法、使用宽带路由器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路由器的NAT接入Internet的方法、接入无线网的配置方法、防火墙的安装与设置方法、</w:t>
      </w: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常见网络协议（IP、ICMP、ARP、TCP、UDP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）的作用及原理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常见网络服务器（FTP、Web等）的搭建和配置。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三、考试形式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上机考试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考试时长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为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120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分钟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eastAsia="zh-CN"/>
        </w:rPr>
        <w:t>，满分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450分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四、考题形式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50" w:firstLineChars="150"/>
        <w:textAlignment w:val="auto"/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</w:rPr>
        <w:t>选择题、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填空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val="en-US" w:eastAsia="zh-CN"/>
        </w:rPr>
        <w:t>题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</w:rPr>
        <w:t>判断题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五、考试样题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一、选择题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1、Internet中提供主机域名和IP地址之间转换的协议是（ 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FTP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SMTP 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HTTP 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DNS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【正确答案】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下面哪个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计算机设备是计算机和外部进行信息交换的设备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A.输入输出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C.中央处理器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D.存储器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【正确答案】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3、要删除列表框中的某一个项目，需要使用的方法是（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A.Clear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B. ReMove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C. Mov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D. ReMoveItem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【正确答案】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4、如果在数据库中已有一个同名的表，那么以下哪一种查询将覆盖原来的表（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A.删除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B.追加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C.生成表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D.更新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【正确答案】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二、填空题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1、执行下面的程序段后，变量S的值为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S=5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For i= 2.6 To 4.9 Step 0.6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017" w:firstLineChars="339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S=S+1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Next 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Access2003数据库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对象中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实际存放数据的对象是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3、在拆装微机的器件前，应该释放掉手上的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【正确答案】静电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4、IPV6地址是用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位二进制位表示。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【正确答案】128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三、判断题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操作系统属于计算机的系统软件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、子网掩码中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“1”代表主机部分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错误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3、报表是把数据库中的数据打印输出的特有形式（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4、InputBox函数返回值的类型为数值类型（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【正确答案】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错误</w:t>
      </w:r>
    </w:p>
    <w:sectPr>
      <w:head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2EE458-1B8A-4D65-A272-7696BFF507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588B83-565E-4EDE-96FE-8C4E864B01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94BD6D5-17CC-4571-A2CB-B21F844C9D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2071596-CB0B-4334-8CD0-9473A75B30F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YzQ4ZTNhOWYyMGYyYjA1ZDNhOGE2NjJiZDM0MzYifQ=="/>
    <w:docVar w:name="KSO_WPS_MARK_KEY" w:val="f80526ea-c1c9-469d-95c1-bdf7ab311810"/>
  </w:docVars>
  <w:rsids>
    <w:rsidRoot w:val="0000067A"/>
    <w:rsid w:val="0000067A"/>
    <w:rsid w:val="000278FD"/>
    <w:rsid w:val="0005638C"/>
    <w:rsid w:val="000650F6"/>
    <w:rsid w:val="00094CAF"/>
    <w:rsid w:val="00157B35"/>
    <w:rsid w:val="0016137B"/>
    <w:rsid w:val="00167311"/>
    <w:rsid w:val="00184B40"/>
    <w:rsid w:val="001A1D56"/>
    <w:rsid w:val="001B43D0"/>
    <w:rsid w:val="001C3D79"/>
    <w:rsid w:val="001C4437"/>
    <w:rsid w:val="00205211"/>
    <w:rsid w:val="00216FCF"/>
    <w:rsid w:val="002212C6"/>
    <w:rsid w:val="002320B9"/>
    <w:rsid w:val="00282C09"/>
    <w:rsid w:val="002B1455"/>
    <w:rsid w:val="002B7770"/>
    <w:rsid w:val="002B790E"/>
    <w:rsid w:val="002C4A0D"/>
    <w:rsid w:val="002D3ECB"/>
    <w:rsid w:val="002D7BB5"/>
    <w:rsid w:val="002F3E57"/>
    <w:rsid w:val="002F687F"/>
    <w:rsid w:val="00331DB8"/>
    <w:rsid w:val="00346A1E"/>
    <w:rsid w:val="003C42A4"/>
    <w:rsid w:val="004071F7"/>
    <w:rsid w:val="00423488"/>
    <w:rsid w:val="0044438B"/>
    <w:rsid w:val="004A3554"/>
    <w:rsid w:val="00513309"/>
    <w:rsid w:val="005312CC"/>
    <w:rsid w:val="00534634"/>
    <w:rsid w:val="00534CB5"/>
    <w:rsid w:val="005401B4"/>
    <w:rsid w:val="00552FC2"/>
    <w:rsid w:val="00576A4E"/>
    <w:rsid w:val="005F5F18"/>
    <w:rsid w:val="00622FDC"/>
    <w:rsid w:val="00640A37"/>
    <w:rsid w:val="006661BE"/>
    <w:rsid w:val="006667C3"/>
    <w:rsid w:val="00672CB1"/>
    <w:rsid w:val="00677AEC"/>
    <w:rsid w:val="00693998"/>
    <w:rsid w:val="006A2181"/>
    <w:rsid w:val="006B03A1"/>
    <w:rsid w:val="006C1367"/>
    <w:rsid w:val="006E0712"/>
    <w:rsid w:val="006F741E"/>
    <w:rsid w:val="00742E33"/>
    <w:rsid w:val="007525F8"/>
    <w:rsid w:val="007A320E"/>
    <w:rsid w:val="007A4E7F"/>
    <w:rsid w:val="007B0FA7"/>
    <w:rsid w:val="007D1B5B"/>
    <w:rsid w:val="00820F71"/>
    <w:rsid w:val="008342F3"/>
    <w:rsid w:val="00857D4D"/>
    <w:rsid w:val="008A1C71"/>
    <w:rsid w:val="008B20C0"/>
    <w:rsid w:val="008B345B"/>
    <w:rsid w:val="008E0299"/>
    <w:rsid w:val="00933A3C"/>
    <w:rsid w:val="00951564"/>
    <w:rsid w:val="0097689F"/>
    <w:rsid w:val="00986A96"/>
    <w:rsid w:val="009B61AB"/>
    <w:rsid w:val="009D016A"/>
    <w:rsid w:val="009D2B1E"/>
    <w:rsid w:val="009E7C61"/>
    <w:rsid w:val="00A22038"/>
    <w:rsid w:val="00A42822"/>
    <w:rsid w:val="00A457EA"/>
    <w:rsid w:val="00A575FA"/>
    <w:rsid w:val="00A674A2"/>
    <w:rsid w:val="00A8704F"/>
    <w:rsid w:val="00AD5F1A"/>
    <w:rsid w:val="00B01619"/>
    <w:rsid w:val="00B067E3"/>
    <w:rsid w:val="00B146D5"/>
    <w:rsid w:val="00B24F29"/>
    <w:rsid w:val="00B35F74"/>
    <w:rsid w:val="00B47380"/>
    <w:rsid w:val="00BB380A"/>
    <w:rsid w:val="00C05D1D"/>
    <w:rsid w:val="00C10332"/>
    <w:rsid w:val="00C51484"/>
    <w:rsid w:val="00C57645"/>
    <w:rsid w:val="00C60AD9"/>
    <w:rsid w:val="00C9313B"/>
    <w:rsid w:val="00C97C66"/>
    <w:rsid w:val="00CA3DCB"/>
    <w:rsid w:val="00CA4B93"/>
    <w:rsid w:val="00CC620C"/>
    <w:rsid w:val="00CD4E03"/>
    <w:rsid w:val="00D04BF7"/>
    <w:rsid w:val="00D06933"/>
    <w:rsid w:val="00D53F0C"/>
    <w:rsid w:val="00D70C82"/>
    <w:rsid w:val="00DA2BC1"/>
    <w:rsid w:val="00DA3510"/>
    <w:rsid w:val="00E06098"/>
    <w:rsid w:val="00E22704"/>
    <w:rsid w:val="00E60FCF"/>
    <w:rsid w:val="00E705FF"/>
    <w:rsid w:val="00E746A0"/>
    <w:rsid w:val="00E867CA"/>
    <w:rsid w:val="00ED17F8"/>
    <w:rsid w:val="00F154C4"/>
    <w:rsid w:val="00F32ECC"/>
    <w:rsid w:val="00F41918"/>
    <w:rsid w:val="00F54F58"/>
    <w:rsid w:val="00F6697B"/>
    <w:rsid w:val="00FD5BF2"/>
    <w:rsid w:val="03F27EE7"/>
    <w:rsid w:val="06BD5DFB"/>
    <w:rsid w:val="089805D5"/>
    <w:rsid w:val="0A4D7496"/>
    <w:rsid w:val="0AA30E05"/>
    <w:rsid w:val="0C9B0117"/>
    <w:rsid w:val="0F574044"/>
    <w:rsid w:val="0FA7589A"/>
    <w:rsid w:val="11E903EC"/>
    <w:rsid w:val="14FB1303"/>
    <w:rsid w:val="15DD7035"/>
    <w:rsid w:val="1D4806BC"/>
    <w:rsid w:val="1DF402B1"/>
    <w:rsid w:val="21A06152"/>
    <w:rsid w:val="23607DE2"/>
    <w:rsid w:val="24FF3D57"/>
    <w:rsid w:val="28F96491"/>
    <w:rsid w:val="29E9416A"/>
    <w:rsid w:val="2C825740"/>
    <w:rsid w:val="2F7D49C8"/>
    <w:rsid w:val="2FD8767E"/>
    <w:rsid w:val="348F0527"/>
    <w:rsid w:val="37FF5C22"/>
    <w:rsid w:val="397FB8F0"/>
    <w:rsid w:val="39FF6DD8"/>
    <w:rsid w:val="3A3E4946"/>
    <w:rsid w:val="3C671D6D"/>
    <w:rsid w:val="3D073351"/>
    <w:rsid w:val="3EE82BDE"/>
    <w:rsid w:val="3F5F639D"/>
    <w:rsid w:val="3F6A406B"/>
    <w:rsid w:val="42794EDD"/>
    <w:rsid w:val="439E5DC2"/>
    <w:rsid w:val="43AF12D6"/>
    <w:rsid w:val="44572B64"/>
    <w:rsid w:val="44B83F02"/>
    <w:rsid w:val="455177A1"/>
    <w:rsid w:val="46AC6974"/>
    <w:rsid w:val="472D257F"/>
    <w:rsid w:val="499165C9"/>
    <w:rsid w:val="49B531BE"/>
    <w:rsid w:val="4A253068"/>
    <w:rsid w:val="53A75BFC"/>
    <w:rsid w:val="55825812"/>
    <w:rsid w:val="55917139"/>
    <w:rsid w:val="563906F8"/>
    <w:rsid w:val="57BCCC9B"/>
    <w:rsid w:val="57F73222"/>
    <w:rsid w:val="58B80B9D"/>
    <w:rsid w:val="5C5F48B5"/>
    <w:rsid w:val="5CD65625"/>
    <w:rsid w:val="5DCB1D21"/>
    <w:rsid w:val="61E27CA0"/>
    <w:rsid w:val="629E7A04"/>
    <w:rsid w:val="66876CE5"/>
    <w:rsid w:val="686E0CB6"/>
    <w:rsid w:val="69B813AB"/>
    <w:rsid w:val="6ADF4144"/>
    <w:rsid w:val="6BD661E4"/>
    <w:rsid w:val="6CE14F86"/>
    <w:rsid w:val="6D463172"/>
    <w:rsid w:val="6F4719AC"/>
    <w:rsid w:val="71D07064"/>
    <w:rsid w:val="72C059BA"/>
    <w:rsid w:val="748A428C"/>
    <w:rsid w:val="74E41BEE"/>
    <w:rsid w:val="75292E35"/>
    <w:rsid w:val="77EF68E0"/>
    <w:rsid w:val="78873229"/>
    <w:rsid w:val="7AE9B7F2"/>
    <w:rsid w:val="7EFFA423"/>
    <w:rsid w:val="7FF9F1DB"/>
    <w:rsid w:val="7FFE6BD5"/>
    <w:rsid w:val="DFE7D283"/>
    <w:rsid w:val="E62CAFAC"/>
    <w:rsid w:val="EC3A4302"/>
    <w:rsid w:val="F40B169C"/>
    <w:rsid w:val="F977BF23"/>
    <w:rsid w:val="FBCDC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标题 1 Char"/>
    <w:basedOn w:val="7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question-title-txt"/>
    <w:basedOn w:val="7"/>
    <w:autoRedefine/>
    <w:qFormat/>
    <w:uiPriority w:val="0"/>
  </w:style>
  <w:style w:type="paragraph" w:styleId="13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DB3FDEAE-914A-4DDD-9629-755D53DB6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1391</Words>
  <Characters>1592</Characters>
  <Lines>1</Lines>
  <Paragraphs>1</Paragraphs>
  <TotalTime>4</TotalTime>
  <ScaleCrop>false</ScaleCrop>
  <LinksUpToDate>false</LinksUpToDate>
  <CharactersWithSpaces>1716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2022-03-18T00:59:00Z</dcterms:created>
  <dc:creator>haojia</dc:creator>
  <cp:lastModifiedBy>李羽飞（201607）</cp:lastModifiedBy>
  <cp:lastPrinted>2022-03-19T17:36:00Z</cp:lastPrinted>
  <dcterms:modified xsi:type="dcterms:W3CDTF">2024-03-20T06:32:12Z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F8FD4C592F9246C9BD828EA255AB4DF2_13</vt:lpwstr>
  </property>
</Properties>
</file>